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R5-224898</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1851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6.5.3 Spur-</w:t>
            </w:r>
            <w:proofErr w:type="spellStart"/>
            <w:r>
              <w:t>emiss</w:t>
            </w:r>
            <w:proofErr w:type="spellEnd"/>
            <w:r>
              <w:t xml:space="preserve"> R16_17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NR_RF_FR1-UEConTest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Update with latest changes in TS 38.101-1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Updated general spurious emission.</w:t>
            </w:r>
          </w:p>
          <w:p>
            <w:pPr>
              <w:pStyle w:val="CRCoverPage"/>
              <w:spacing w:after="0"/>
              <w:ind w:left="100"/>
              <w:rPr>
                <w:noProof/>
              </w:rPr>
            </w:pPr>
            <w:r>
              <w:rPr>
                <w:noProof/>
              </w:rPr>
              <w:t>Updated Spurious emissions for UE co-existence for n7 and n79.</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R5-224898r1 changes –</w:t>
            </w:r>
          </w:p>
          <w:p>
            <w:pPr>
              <w:pStyle w:val="CRCoverPage"/>
              <w:spacing w:after="0"/>
              <w:ind w:left="100"/>
              <w:rPr>
                <w:noProof/>
              </w:rPr>
            </w:pPr>
            <w:r>
              <w:rPr>
                <w:noProof/>
                <w:highlight w:val="yellow"/>
              </w:rPr>
              <w:t>Added same changes to R15 requirement</w:t>
            </w:r>
          </w:p>
          <w:p>
            <w:pPr>
              <w:pStyle w:val="CRCoverPage"/>
              <w:spacing w:after="0"/>
              <w:ind w:left="100"/>
              <w:rPr>
                <w:noProof/>
              </w:rPr>
            </w:pPr>
            <w:r>
              <w:rPr>
                <w:noProof/>
                <w:highlight w:val="yellow"/>
              </w:rPr>
              <w:t>Removed statement on PC1.5 under 6.5.3</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bookmarkStart w:id="11" w:name="_Toc83720747"/>
      <w:r>
        <w:t>6.5.3</w:t>
      </w:r>
      <w:r>
        <w:tab/>
        <w:t>Spurious emissions</w:t>
      </w:r>
      <w:bookmarkEnd w:id="2"/>
      <w:bookmarkEnd w:id="3"/>
      <w:bookmarkEnd w:id="4"/>
      <w:bookmarkEnd w:id="5"/>
      <w:bookmarkEnd w:id="6"/>
      <w:bookmarkEnd w:id="7"/>
      <w:bookmarkEnd w:id="8"/>
      <w:bookmarkEnd w:id="9"/>
      <w:bookmarkEnd w:id="10"/>
      <w:bookmarkEnd w:id="11"/>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  .</w:t>
      </w:r>
    </w:p>
    <w:p>
      <w: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Heading4"/>
      </w:pPr>
      <w:bookmarkStart w:id="12" w:name="_Toc27478176"/>
      <w:bookmarkStart w:id="13" w:name="_Toc36226888"/>
      <w:bookmarkStart w:id="14" w:name="_Toc44324173"/>
      <w:bookmarkStart w:id="15" w:name="_Toc52990367"/>
      <w:bookmarkStart w:id="16" w:name="_Toc60823566"/>
      <w:bookmarkStart w:id="17" w:name="_Toc60825488"/>
      <w:bookmarkStart w:id="18" w:name="_Toc69306277"/>
      <w:bookmarkStart w:id="19" w:name="_Toc69309942"/>
      <w:bookmarkStart w:id="20" w:name="_Toc76020265"/>
      <w:bookmarkStart w:id="21" w:name="_Toc83720748"/>
      <w:r>
        <w:t>6.5.3.1</w:t>
      </w:r>
      <w:r>
        <w:tab/>
        <w:t>General spurious emissions</w:t>
      </w:r>
      <w:bookmarkEnd w:id="12"/>
      <w:bookmarkEnd w:id="13"/>
      <w:bookmarkEnd w:id="14"/>
      <w:bookmarkEnd w:id="15"/>
      <w:bookmarkEnd w:id="16"/>
      <w:bookmarkEnd w:id="17"/>
      <w:bookmarkEnd w:id="18"/>
      <w:bookmarkEnd w:id="19"/>
      <w:bookmarkEnd w:id="20"/>
      <w:bookmarkEnd w:id="21"/>
    </w:p>
    <w:p>
      <w:pPr>
        <w:pStyle w:val="H6"/>
      </w:pPr>
      <w:bookmarkStart w:id="22" w:name="_Toc27478177"/>
      <w:bookmarkStart w:id="23" w:name="_Toc36226889"/>
      <w:bookmarkStart w:id="24" w:name="_Toc44324174"/>
      <w:bookmarkStart w:id="25" w:name="_Toc52990368"/>
      <w:bookmarkStart w:id="26" w:name="_Toc60823567"/>
      <w:bookmarkStart w:id="27" w:name="_Toc60825489"/>
      <w:r>
        <w:t>6.5.3.1.1</w:t>
      </w:r>
      <w:r>
        <w:tab/>
        <w:t>Test purpose</w:t>
      </w:r>
      <w:bookmarkEnd w:id="22"/>
      <w:bookmarkEnd w:id="23"/>
      <w:bookmarkEnd w:id="24"/>
      <w:bookmarkEnd w:id="25"/>
      <w:bookmarkEnd w:id="26"/>
      <w:bookmarkEnd w:id="27"/>
    </w:p>
    <w:p>
      <w:r>
        <w:t>To verify that UE transmitter does not cause unacceptable interference to other channels or other systems in terms of transmitter spurious emissions.</w:t>
      </w:r>
    </w:p>
    <w:p>
      <w:pPr>
        <w:pStyle w:val="H6"/>
      </w:pPr>
      <w:bookmarkStart w:id="28" w:name="_Toc27478178"/>
      <w:bookmarkStart w:id="29" w:name="_Toc36226890"/>
      <w:bookmarkStart w:id="30" w:name="_Toc44324175"/>
      <w:bookmarkStart w:id="31" w:name="_Toc52990369"/>
      <w:bookmarkStart w:id="32" w:name="_Toc60823568"/>
      <w:bookmarkStart w:id="33" w:name="_Toc60825490"/>
      <w:r>
        <w:t>6.5.3.1.2</w:t>
      </w:r>
      <w:r>
        <w:tab/>
        <w:t>Test applicability</w:t>
      </w:r>
      <w:bookmarkEnd w:id="28"/>
      <w:bookmarkEnd w:id="29"/>
      <w:bookmarkEnd w:id="30"/>
      <w:bookmarkEnd w:id="31"/>
      <w:bookmarkEnd w:id="32"/>
      <w:bookmarkEnd w:id="33"/>
    </w:p>
    <w:p>
      <w:r>
        <w:t>This test case applies to all types of NR UE release 15 and forward.</w:t>
      </w:r>
    </w:p>
    <w:p>
      <w:pPr>
        <w:pStyle w:val="H6"/>
      </w:pPr>
      <w:bookmarkStart w:id="34" w:name="_Toc27478179"/>
      <w:bookmarkStart w:id="35" w:name="_Toc36226891"/>
      <w:bookmarkStart w:id="36" w:name="_Toc44324176"/>
      <w:bookmarkStart w:id="37" w:name="_Toc52990370"/>
      <w:bookmarkStart w:id="38" w:name="_Toc60823569"/>
      <w:bookmarkStart w:id="39" w:name="_Toc60825491"/>
      <w:r>
        <w:t>6.5.3.1.3</w:t>
      </w:r>
      <w:r>
        <w:tab/>
        <w:t>Minimum conformance requirements</w:t>
      </w:r>
      <w:bookmarkEnd w:id="34"/>
      <w:bookmarkEnd w:id="35"/>
      <w:bookmarkEnd w:id="36"/>
      <w:bookmarkEnd w:id="37"/>
      <w:bookmarkEnd w:id="38"/>
      <w:bookmarkEnd w:id="39"/>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6.5.3.1.3-2</w:t>
      </w:r>
      <w:r>
        <w:rPr>
          <w:rFonts w:eastAsia="MS Mincho"/>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.1.3-1 from the edge of the channel bandwidth. The spurious emission limits in Table </w:t>
      </w:r>
      <w:r>
        <w:rPr>
          <w:lang w:eastAsia="zh-CN"/>
        </w:rPr>
        <w:t>6</w:t>
      </w:r>
      <w:r>
        <w:t>.</w:t>
      </w:r>
      <w:r>
        <w:rPr>
          <w:lang w:eastAsia="zh-CN"/>
        </w:rPr>
        <w:t>5</w:t>
      </w:r>
      <w:r>
        <w:t>.</w:t>
      </w:r>
      <w:r>
        <w:rPr>
          <w:lang w:eastAsia="zh-CN"/>
        </w:rPr>
        <w:t>3</w:t>
      </w:r>
      <w:r>
        <w:t>.1.3-2 apply for all transmitter band configurations (N</w:t>
      </w:r>
      <w:r>
        <w:rPr>
          <w:vertAlign w:val="subscript"/>
        </w:rPr>
        <w:t>RB</w:t>
      </w:r>
      <w:r>
        <w:t xml:space="preserve">) and channel bandwidths.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Channel bandwidth</w:t>
            </w:r>
          </w:p>
        </w:tc>
        <w:tc>
          <w:tcPr>
            <w:tcW w:w="4284" w:type="dxa"/>
            <w:vAlign w:val="center"/>
          </w:tcPr>
          <w:p>
            <w:pPr>
              <w:pStyle w:val="TAH"/>
            </w:pPr>
            <w:r>
              <w:t>OOB boundary F</w:t>
            </w:r>
            <w:r>
              <w:rPr>
                <w:vertAlign w:val="subscript"/>
              </w:rPr>
              <w:t>OOB</w:t>
            </w:r>
            <w:r>
              <w:t xml:space="preserve"> (MHz) </w:t>
            </w:r>
          </w:p>
        </w:tc>
      </w:tr>
      <w:tr>
        <w:trPr>
          <w:jc w:val="center"/>
        </w:trPr>
        <w:tc>
          <w:tcPr>
            <w:tcW w:w="1731" w:type="dxa"/>
          </w:tcPr>
          <w:p>
            <w:pPr>
              <w:pStyle w:val="TAC"/>
            </w:pPr>
            <w:proofErr w:type="spellStart"/>
            <w:r>
              <w:t>BW</w:t>
            </w:r>
            <w:r>
              <w:rPr>
                <w:vertAlign w:val="subscript"/>
              </w:rPr>
              <w:t>Channel</w:t>
            </w:r>
            <w:proofErr w:type="spellEnd"/>
            <w:r>
              <w:t xml:space="preserve"> </w:t>
            </w:r>
          </w:p>
        </w:tc>
        <w:tc>
          <w:tcPr>
            <w:tcW w:w="4284" w:type="dxa"/>
            <w:vAlign w:val="center"/>
          </w:tcPr>
          <w:p>
            <w:pPr>
              <w:pStyle w:val="TAC"/>
            </w:pPr>
            <w:proofErr w:type="spellStart"/>
            <w:r>
              <w:t>BW</w:t>
            </w:r>
            <w:r>
              <w:rPr>
                <w:vertAlign w:val="subscript"/>
              </w:rPr>
              <w:t>Channel</w:t>
            </w:r>
            <w:proofErr w:type="spellEnd"/>
            <w:r>
              <w:t xml:space="preserve"> + 5</w:t>
            </w:r>
          </w:p>
        </w:tc>
      </w:tr>
    </w:tbl>
    <w:p/>
    <w:p>
      <w:pPr>
        <w:pStyle w:val="TH"/>
        <w:rPr>
          <w:lang w:eastAsia="zh-CN"/>
        </w:rPr>
      </w:pPr>
      <w:r>
        <w:lastRenderedPageBreak/>
        <w:t xml:space="preserve">Table </w:t>
      </w:r>
      <w:r>
        <w:rPr>
          <w:lang w:eastAsia="zh-CN"/>
        </w:rPr>
        <w:t>6</w:t>
      </w:r>
      <w:r>
        <w:t>.</w:t>
      </w:r>
      <w:r>
        <w:rPr>
          <w:lang w:eastAsia="zh-CN"/>
        </w:rPr>
        <w:t>5</w:t>
      </w:r>
      <w:r>
        <w:t>.</w:t>
      </w:r>
      <w:r>
        <w:rPr>
          <w:lang w:eastAsia="zh-CN"/>
        </w:rPr>
        <w:t>3</w:t>
      </w:r>
      <w: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for which the upper frequency edge of the UL Band is greater than 2.55 GHz and less than or equal to 5.2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TAN"/>
              <w:rPr>
                <w:lang w:eastAsia="zh-CN"/>
              </w:rPr>
            </w:pPr>
            <w:r>
              <w:rPr>
                <w:lang w:eastAsia="zh-CN"/>
              </w:rPr>
              <w:t>NOTE 4:</w:t>
            </w:r>
            <w:r>
              <w:rPr>
                <w:lang w:eastAsia="zh-CN"/>
              </w:rPr>
              <w:tab/>
              <w:t xml:space="preserve">Does not apply for Band n41, CA configurations including Band n41, and EN-DC configurations that include n41 specified in subclause 5.2B of TS 38.101-3 [4] when NS_04 is signalled. </w:t>
            </w:r>
          </w:p>
        </w:tc>
      </w:tr>
    </w:tbl>
    <w:p/>
    <w:p>
      <w:pPr>
        <w:rPr>
          <w:lang w:eastAsia="zh-CN"/>
        </w:rPr>
      </w:pPr>
      <w:r>
        <w:t>The normative reference for this requirement is TS 38.101-1 [2] subclause 6.5.3.</w:t>
      </w:r>
      <w:r>
        <w:rPr>
          <w:lang w:eastAsia="zh-CN"/>
        </w:rPr>
        <w:t>1</w:t>
      </w:r>
    </w:p>
    <w:p>
      <w:pPr>
        <w:pStyle w:val="H6"/>
      </w:pPr>
      <w:bookmarkStart w:id="40" w:name="_Toc27478180"/>
      <w:bookmarkStart w:id="41" w:name="_Toc36226892"/>
      <w:bookmarkStart w:id="42" w:name="_Toc44324177"/>
      <w:bookmarkStart w:id="43" w:name="_Toc52990371"/>
      <w:bookmarkStart w:id="44" w:name="_Toc60823570"/>
      <w:bookmarkStart w:id="45" w:name="_Toc60825492"/>
      <w:r>
        <w:t>6.5.3.1.4</w:t>
      </w:r>
      <w:r>
        <w:tab/>
        <w:t>Test description</w:t>
      </w:r>
      <w:bookmarkEnd w:id="40"/>
      <w:bookmarkEnd w:id="41"/>
      <w:bookmarkEnd w:id="42"/>
      <w:bookmarkEnd w:id="43"/>
      <w:bookmarkEnd w:id="44"/>
      <w:bookmarkEnd w:id="45"/>
    </w:p>
    <w:p>
      <w:pPr>
        <w:pStyle w:val="H6"/>
      </w:pPr>
      <w:r>
        <w:t>6.5.3.1.4.1</w:t>
      </w:r>
      <w:r>
        <w:tab/>
      </w:r>
      <w:r>
        <w:rPr>
          <w:snapToGrid w:val="0"/>
        </w:rP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w:t>
      </w:r>
      <w:bookmarkStart w:id="46" w:name="_Hlk513652897"/>
      <w:r>
        <w:t>Table 5.3.5-1</w:t>
      </w:r>
      <w:bookmarkEnd w:id="46"/>
      <w:r>
        <w:t xml:space="preserve">. </w:t>
      </w:r>
      <w:proofErr w:type="gramStart"/>
      <w:r>
        <w:t>All of</w:t>
      </w:r>
      <w:proofErr w:type="gramEnd"/>
      <w:r>
        <w:t xml:space="preserve">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pPr>
        <w:pStyle w:val="TH"/>
        <w:rPr>
          <w:lang w:eastAsia="zh-CN"/>
        </w:rPr>
      </w:pPr>
      <w:bookmarkStart w:id="47"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tc>
          <w:tcPr>
            <w:tcW w:w="5000" w:type="pct"/>
            <w:gridSpan w:val="4"/>
            <w:shd w:val="clear" w:color="auto" w:fill="auto"/>
          </w:tcPr>
          <w:p>
            <w:pPr>
              <w:pStyle w:val="TAH"/>
            </w:pPr>
            <w: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 xml:space="preserve">Low range, </w:t>
            </w:r>
            <w:proofErr w:type="spellStart"/>
            <w:r>
              <w:t>Mid range</w:t>
            </w:r>
            <w:proofErr w:type="spellEnd"/>
            <w:r>
              <w:t>,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r>
              <w:t>Lowest, Mid, Highest</w:t>
            </w:r>
          </w:p>
        </w:tc>
      </w:tr>
      <w:tr>
        <w:tc>
          <w:tcPr>
            <w:tcW w:w="1980" w:type="pct"/>
            <w:gridSpan w:val="2"/>
            <w:shd w:val="clear" w:color="auto" w:fill="auto"/>
          </w:tcPr>
          <w:p>
            <w:pPr>
              <w:pStyle w:val="TAL"/>
            </w:pPr>
            <w:r>
              <w:t>Test SCS as specified in Table 5.3.5-1</w:t>
            </w:r>
          </w:p>
        </w:tc>
        <w:tc>
          <w:tcPr>
            <w:tcW w:w="3020" w:type="pct"/>
            <w:gridSpan w:val="2"/>
          </w:tcPr>
          <w:p>
            <w:r>
              <w:t xml:space="preserve">Lowest </w:t>
            </w:r>
          </w:p>
        </w:tc>
      </w:tr>
      <w:tr>
        <w:tc>
          <w:tcPr>
            <w:tcW w:w="5000" w:type="pct"/>
            <w:gridSpan w:val="4"/>
            <w:shd w:val="clear" w:color="auto" w:fill="auto"/>
          </w:tcPr>
          <w:p>
            <w:pPr>
              <w:pStyle w:val="TAH"/>
            </w:pPr>
            <w:r>
              <w:t>Test Parameters</w:t>
            </w:r>
          </w:p>
        </w:tc>
      </w:tr>
      <w:tr>
        <w:tc>
          <w:tcPr>
            <w:tcW w:w="573" w:type="pct"/>
            <w:shd w:val="clear" w:color="auto" w:fill="auto"/>
          </w:tcPr>
          <w:p>
            <w:pPr>
              <w:pStyle w:val="TAH"/>
              <w:rPr>
                <w:lang w:eastAsia="zh-CN"/>
              </w:rPr>
            </w:pPr>
            <w:r>
              <w:rPr>
                <w:lang w:eastAsia="zh-CN"/>
              </w:rPr>
              <w:t>Test ID</w:t>
            </w:r>
          </w:p>
        </w:tc>
        <w:tc>
          <w:tcPr>
            <w:tcW w:w="1407" w:type="pct"/>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shd w:val="clear" w:color="auto" w:fill="auto"/>
          </w:tcPr>
          <w:p>
            <w:pPr>
              <w:pStyle w:val="TAH"/>
              <w:rPr>
                <w:lang w:eastAsia="zh-CN"/>
              </w:rPr>
            </w:pPr>
          </w:p>
        </w:tc>
        <w:tc>
          <w:tcPr>
            <w:tcW w:w="1407" w:type="pct"/>
            <w:vMerge w:val="restart"/>
            <w:shd w:val="clear" w:color="auto" w:fill="auto"/>
            <w:vAlign w:val="center"/>
          </w:tcPr>
          <w:p>
            <w:pPr>
              <w:pStyle w:val="TAC"/>
            </w:pPr>
            <w:r>
              <w:rPr>
                <w:rFonts w:eastAsia="MS Mincho"/>
              </w:rPr>
              <w:t>N/A for Spurious Emissions testing</w:t>
            </w:r>
          </w:p>
        </w:tc>
        <w:tc>
          <w:tcPr>
            <w:tcW w:w="1779" w:type="pct"/>
          </w:tcPr>
          <w:p>
            <w:pPr>
              <w:pStyle w:val="TAH"/>
              <w:rPr>
                <w:lang w:eastAsia="zh-CN"/>
              </w:rPr>
            </w:pPr>
            <w:r>
              <w:rPr>
                <w:lang w:eastAsia="zh-CN"/>
              </w:rPr>
              <w:t>Modulation</w:t>
            </w:r>
          </w:p>
        </w:tc>
        <w:tc>
          <w:tcPr>
            <w:tcW w:w="1241"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pPr>
            <w:r>
              <w:t>1</w:t>
            </w:r>
          </w:p>
        </w:tc>
        <w:tc>
          <w:tcPr>
            <w:tcW w:w="1407" w:type="pct"/>
            <w:vMerge/>
            <w:shd w:val="clear" w:color="auto" w:fill="auto"/>
          </w:tcPr>
          <w:p>
            <w:pPr>
              <w:pStyle w:val="TAC"/>
            </w:pPr>
          </w:p>
        </w:tc>
        <w:tc>
          <w:tcPr>
            <w:tcW w:w="1779" w:type="pct"/>
          </w:tcPr>
          <w:p>
            <w:pPr>
              <w:pStyle w:val="TAC"/>
            </w:pPr>
            <w:r>
              <w:t xml:space="preserve">CP-OFDM QPSK </w:t>
            </w:r>
          </w:p>
        </w:tc>
        <w:tc>
          <w:tcPr>
            <w:tcW w:w="1241" w:type="pct"/>
            <w:shd w:val="clear" w:color="auto" w:fill="auto"/>
          </w:tcPr>
          <w:p>
            <w:pPr>
              <w:pStyle w:val="TAC"/>
            </w:pPr>
            <w:proofErr w:type="spellStart"/>
            <w:r>
              <w:t>OuterFull</w:t>
            </w:r>
            <w:proofErr w:type="spellEnd"/>
          </w:p>
        </w:tc>
      </w:tr>
      <w:tr>
        <w:tc>
          <w:tcPr>
            <w:tcW w:w="573" w:type="pct"/>
            <w:shd w:val="clear" w:color="auto" w:fill="auto"/>
          </w:tcPr>
          <w:p>
            <w:pPr>
              <w:pStyle w:val="TAC"/>
            </w:pPr>
            <w:r>
              <w:t>2</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Edge_1RB_Left</w:t>
            </w:r>
          </w:p>
        </w:tc>
      </w:tr>
      <w:tr>
        <w:tc>
          <w:tcPr>
            <w:tcW w:w="573" w:type="pct"/>
            <w:shd w:val="clear" w:color="auto" w:fill="auto"/>
          </w:tcPr>
          <w:p>
            <w:pPr>
              <w:pStyle w:val="TAC"/>
            </w:pPr>
            <w:r>
              <w:t>3</w:t>
            </w:r>
          </w:p>
        </w:tc>
        <w:tc>
          <w:tcPr>
            <w:tcW w:w="1407" w:type="pct"/>
            <w:vMerge/>
            <w:shd w:val="clear" w:color="auto" w:fill="auto"/>
          </w:tcPr>
          <w:p>
            <w:pPr>
              <w:pStyle w:val="TAC"/>
            </w:pPr>
          </w:p>
        </w:tc>
        <w:tc>
          <w:tcPr>
            <w:tcW w:w="1779" w:type="pct"/>
          </w:tcPr>
          <w:p>
            <w:pPr>
              <w:pStyle w:val="TAC"/>
            </w:pPr>
            <w:r>
              <w:t>CP-OFDM QPSK</w:t>
            </w:r>
          </w:p>
        </w:tc>
        <w:tc>
          <w:tcPr>
            <w:tcW w:w="1241"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pPr>
      <w:r>
        <w:lastRenderedPageBreak/>
        <w:t>2.</w:t>
      </w:r>
      <w:r>
        <w:tab/>
        <w:t>The parameter settings for the cell are set up according to TS 38.508-1 [5] subclause 4.4.3.</w:t>
      </w:r>
    </w:p>
    <w:p>
      <w:pPr>
        <w:pStyle w:val="B10"/>
      </w:pPr>
      <w:r>
        <w:t>3.</w:t>
      </w:r>
      <w:r>
        <w:tab/>
        <w:t>Downlink signals are initially set up according to Annex C.0, C.1 and C.2, and uplink signals according to Annex G.0, G.1, G.2, G.3.0.</w:t>
      </w:r>
    </w:p>
    <w:p>
      <w:pPr>
        <w:pStyle w:val="B10"/>
      </w:pPr>
      <w:r>
        <w:t>4.</w:t>
      </w:r>
      <w:r>
        <w:tab/>
        <w:t>The UL Reference Measurement channels are set according to Table 6.5.3.1.4.1-1.</w:t>
      </w:r>
    </w:p>
    <w:p>
      <w:pPr>
        <w:pStyle w:val="B10"/>
      </w:pPr>
      <w:r>
        <w:t>5.</w:t>
      </w:r>
      <w:r>
        <w:tab/>
        <w:t xml:space="preserve">Propagation conditions are set according to Annex </w:t>
      </w:r>
      <w:bookmarkStart w:id="48" w:name="_Hlk519091175"/>
      <w:bookmarkStart w:id="49" w:name="_Hlk517549223"/>
      <w:r>
        <w:t>B.0</w:t>
      </w:r>
      <w:bookmarkEnd w:id="48"/>
      <w:r>
        <w:t>.</w:t>
      </w:r>
      <w:bookmarkEnd w:id="49"/>
      <w:r>
        <w:t xml:space="preserve"> </w:t>
      </w:r>
    </w:p>
    <w:p>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6.5.3.1.4.3</w:t>
      </w:r>
      <w:r>
        <w:rPr>
          <w:lang w:eastAsia="zh-CN"/>
        </w:rPr>
        <w:t xml:space="preserve"> with no exceptions</w:t>
      </w:r>
      <w:r>
        <w:t>.</w:t>
      </w:r>
      <w:bookmarkEnd w:id="47"/>
    </w:p>
    <w:p>
      <w:pPr>
        <w:pStyle w:val="H6"/>
        <w:rPr>
          <w:snapToGrid w:val="0"/>
        </w:rPr>
      </w:pPr>
      <w:r>
        <w:t>6.5.3.1.4.2</w:t>
      </w:r>
      <w:r>
        <w:tab/>
      </w:r>
      <w:r>
        <w:rPr>
          <w:snapToGrid w:val="0"/>
        </w:rPr>
        <w:t>Test procedure</w:t>
      </w:r>
    </w:p>
    <w:p>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s.</w:t>
      </w:r>
    </w:p>
    <w:p>
      <w:pPr>
        <w:pStyle w:val="B10"/>
      </w:pPr>
      <w:r>
        <w:rPr>
          <w:lang w:eastAsia="zh-CN"/>
        </w:rPr>
        <w:t>4</w:t>
      </w:r>
      <w:r>
        <w:t>.</w:t>
      </w:r>
      <w:r>
        <w:tab/>
        <w:t xml:space="preserve">For UE operating on Band n41, redo the test for frequency range 1 GHz </w:t>
      </w:r>
      <w:r>
        <w:sym w:font="Symbol" w:char="F0A3"/>
      </w:r>
      <w:r>
        <w:t xml:space="preserve"> f &lt; 12.75 GHz with the message content in step 6 of initial conditions with exceptions defined in clause 6.5.3.1.4.3</w:t>
      </w:r>
      <w:r>
        <w:rPr>
          <w:lang w:eastAsia="zh-CN"/>
        </w:rPr>
        <w:t>.</w:t>
      </w:r>
    </w:p>
    <w:p>
      <w:pPr>
        <w:pStyle w:val="H6"/>
        <w:rPr>
          <w:snapToGrid w:val="0"/>
        </w:rPr>
      </w:pPr>
      <w:r>
        <w:t>6.5.3.1.4.3</w:t>
      </w:r>
      <w:r>
        <w:tab/>
      </w:r>
      <w:r>
        <w:rPr>
          <w:snapToGrid w:val="0"/>
        </w:rPr>
        <w:t>Message contents</w:t>
      </w:r>
    </w:p>
    <w:p>
      <w:pPr>
        <w:rPr>
          <w:lang w:eastAsia="zh-CN"/>
        </w:rPr>
      </w:pPr>
      <w:r>
        <w:t>Message contents are according to TS 38.508-1 [5] subclause 4.6.</w:t>
      </w:r>
    </w:p>
    <w:p>
      <w:pPr>
        <w:rPr>
          <w:lang w:eastAsia="zh-CN"/>
        </w:rPr>
      </w:pPr>
      <w:r>
        <w:t>Exception</w:t>
      </w:r>
      <w:r>
        <w:rPr>
          <w:lang w:eastAsia="zh-CN"/>
        </w:rPr>
        <w:t xml:space="preserve"> for step 4 in test procedure:</w:t>
      </w:r>
    </w:p>
    <w:p>
      <w:pPr>
        <w:pStyle w:val="TH"/>
        <w:rPr>
          <w:lang w:eastAsia="zh-CN"/>
        </w:rPr>
      </w:pPr>
      <w:r>
        <w:rPr>
          <w:lang w:eastAsia="zh-CN"/>
        </w:rPr>
        <w:t xml:space="preserve">Table </w:t>
      </w:r>
      <w:r>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c>
          <w:tcPr>
            <w:tcW w:w="9527" w:type="dxa"/>
            <w:gridSpan w:val="4"/>
          </w:tcPr>
          <w:p>
            <w:pPr>
              <w:pStyle w:val="TAL"/>
            </w:pPr>
            <w:r>
              <w:t>Derivation Path: TS 38.508-1 [5], Table 4.6.3-1</w:t>
            </w:r>
          </w:p>
        </w:tc>
      </w:tr>
      <w:tr>
        <w:tc>
          <w:tcPr>
            <w:tcW w:w="4427"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133" w:type="dxa"/>
          </w:tcPr>
          <w:p>
            <w:pPr>
              <w:pStyle w:val="TAH"/>
            </w:pPr>
            <w:r>
              <w:t>Condition</w:t>
            </w:r>
          </w:p>
        </w:tc>
      </w:tr>
      <w:tr>
        <w:trPr>
          <w:trHeight w:val="194"/>
        </w:trPr>
        <w:tc>
          <w:tcPr>
            <w:tcW w:w="4427" w:type="dxa"/>
          </w:tcPr>
          <w:p>
            <w:pPr>
              <w:pStyle w:val="TAL"/>
            </w:pPr>
            <w:proofErr w:type="spellStart"/>
            <w:r>
              <w:t>additionalSpectrumEmission</w:t>
            </w:r>
            <w:proofErr w:type="spellEnd"/>
          </w:p>
        </w:tc>
        <w:tc>
          <w:tcPr>
            <w:tcW w:w="2267" w:type="dxa"/>
          </w:tcPr>
          <w:p>
            <w:pPr>
              <w:pStyle w:val="TAC"/>
            </w:pPr>
            <w:r>
              <w:t>1 (NS_04)</w:t>
            </w:r>
          </w:p>
        </w:tc>
        <w:tc>
          <w:tcPr>
            <w:tcW w:w="1700" w:type="dxa"/>
          </w:tcPr>
          <w:p>
            <w:pPr>
              <w:pStyle w:val="TAC"/>
            </w:pPr>
          </w:p>
        </w:tc>
        <w:tc>
          <w:tcPr>
            <w:tcW w:w="1133" w:type="dxa"/>
          </w:tcPr>
          <w:p>
            <w:pPr>
              <w:pStyle w:val="TAC"/>
            </w:pPr>
          </w:p>
        </w:tc>
      </w:tr>
    </w:tbl>
    <w:p/>
    <w:p>
      <w:pPr>
        <w:pStyle w:val="H6"/>
      </w:pPr>
      <w:bookmarkStart w:id="50" w:name="_Toc27478181"/>
      <w:bookmarkStart w:id="51" w:name="_Toc36226893"/>
      <w:bookmarkStart w:id="52" w:name="_Toc44324178"/>
      <w:bookmarkStart w:id="53" w:name="_Toc52990372"/>
      <w:bookmarkStart w:id="54" w:name="_Toc60823571"/>
      <w:bookmarkStart w:id="55" w:name="_Toc60825493"/>
      <w:r>
        <w:rPr>
          <w:snapToGrid w:val="0"/>
        </w:rPr>
        <w:t>6.5.3.1.5</w:t>
      </w:r>
      <w:r>
        <w:rPr>
          <w:snapToGrid w:val="0"/>
        </w:rPr>
        <w:tab/>
      </w:r>
      <w:r>
        <w:t>Test requirement</w:t>
      </w:r>
      <w:bookmarkEnd w:id="50"/>
      <w:bookmarkEnd w:id="51"/>
      <w:bookmarkEnd w:id="52"/>
      <w:bookmarkEnd w:id="53"/>
      <w:bookmarkEnd w:id="54"/>
      <w:bookmarkEnd w:id="55"/>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(NRB) and channel bandwidths.</w:t>
      </w:r>
    </w:p>
    <w:p>
      <w:r>
        <w:t xml:space="preserve">The measured average power of spurious emission, derived in step </w:t>
      </w:r>
      <w:r>
        <w:rPr>
          <w:lang w:eastAsia="zh-CN"/>
        </w:rPr>
        <w:t>3</w:t>
      </w:r>
      <w:r>
        <w:t>, shall not exceed the described value in Table 6.5.3.1.5-1.</w:t>
      </w:r>
    </w:p>
    <w:p>
      <w:pPr>
        <w:pStyle w:val="TH"/>
      </w:pPr>
      <w:r>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tc>
          <w:tcPr>
            <w:tcW w:w="2152" w:type="dxa"/>
          </w:tcPr>
          <w:p>
            <w:pPr>
              <w:pStyle w:val="TAH"/>
            </w:pPr>
            <w:r>
              <w:t>Frequency Range</w:t>
            </w:r>
          </w:p>
        </w:tc>
        <w:tc>
          <w:tcPr>
            <w:tcW w:w="1522" w:type="dxa"/>
          </w:tcPr>
          <w:p>
            <w:pPr>
              <w:pStyle w:val="TAH"/>
            </w:pPr>
            <w:r>
              <w:t>Maximum Level</w:t>
            </w:r>
          </w:p>
        </w:tc>
        <w:tc>
          <w:tcPr>
            <w:tcW w:w="2262" w:type="dxa"/>
          </w:tcPr>
          <w:p>
            <w:pPr>
              <w:pStyle w:val="TAH"/>
            </w:pPr>
            <w:r>
              <w:t>Measurement bandwidth</w:t>
            </w:r>
          </w:p>
        </w:tc>
        <w:tc>
          <w:tcPr>
            <w:tcW w:w="868" w:type="dxa"/>
          </w:tcPr>
          <w:p>
            <w:pPr>
              <w:pStyle w:val="TAH"/>
            </w:pPr>
            <w:r>
              <w:t>NOTE</w:t>
            </w:r>
          </w:p>
        </w:tc>
      </w:tr>
      <w:tr>
        <w:tc>
          <w:tcPr>
            <w:tcW w:w="2152" w:type="dxa"/>
          </w:tcPr>
          <w:p>
            <w:pPr>
              <w:pStyle w:val="TAC"/>
            </w:pPr>
            <w:r>
              <w:t xml:space="preserve">9 kHz </w:t>
            </w:r>
            <w:r>
              <w:sym w:font="Symbol" w:char="F0A3"/>
            </w:r>
            <w:r>
              <w:t xml:space="preserve"> f &lt; 150 kHz</w:t>
            </w:r>
          </w:p>
        </w:tc>
        <w:tc>
          <w:tcPr>
            <w:tcW w:w="1522" w:type="dxa"/>
          </w:tcPr>
          <w:p>
            <w:pPr>
              <w:pStyle w:val="TAC"/>
            </w:pPr>
            <w:r>
              <w:t>-36 dBm</w:t>
            </w:r>
          </w:p>
        </w:tc>
        <w:tc>
          <w:tcPr>
            <w:tcW w:w="2262" w:type="dxa"/>
          </w:tcPr>
          <w:p>
            <w:pPr>
              <w:pStyle w:val="TAC"/>
            </w:pPr>
            <w:r>
              <w:t xml:space="preserve">1 kHz </w:t>
            </w:r>
          </w:p>
        </w:tc>
        <w:tc>
          <w:tcPr>
            <w:tcW w:w="868" w:type="dxa"/>
          </w:tcPr>
          <w:p>
            <w:pPr>
              <w:pStyle w:val="TAC"/>
            </w:pPr>
          </w:p>
        </w:tc>
      </w:tr>
      <w:tr>
        <w:tc>
          <w:tcPr>
            <w:tcW w:w="2152" w:type="dxa"/>
          </w:tcPr>
          <w:p>
            <w:pPr>
              <w:pStyle w:val="TAC"/>
            </w:pPr>
            <w:r>
              <w:t xml:space="preserve">150 kHz </w:t>
            </w:r>
            <w:r>
              <w:sym w:font="Symbol" w:char="F0A3"/>
            </w:r>
            <w:r>
              <w:t xml:space="preserve"> f &lt; 30 MHz</w:t>
            </w:r>
          </w:p>
        </w:tc>
        <w:tc>
          <w:tcPr>
            <w:tcW w:w="1522" w:type="dxa"/>
          </w:tcPr>
          <w:p>
            <w:pPr>
              <w:pStyle w:val="TAC"/>
            </w:pPr>
            <w:r>
              <w:t>-36 dBm</w:t>
            </w:r>
          </w:p>
        </w:tc>
        <w:tc>
          <w:tcPr>
            <w:tcW w:w="2262" w:type="dxa"/>
          </w:tcPr>
          <w:p>
            <w:pPr>
              <w:pStyle w:val="TAC"/>
            </w:pPr>
            <w:r>
              <w:t xml:space="preserve">10 kHz </w:t>
            </w:r>
          </w:p>
        </w:tc>
        <w:tc>
          <w:tcPr>
            <w:tcW w:w="868" w:type="dxa"/>
          </w:tcPr>
          <w:p>
            <w:pPr>
              <w:pStyle w:val="TAC"/>
            </w:pPr>
          </w:p>
        </w:tc>
      </w:tr>
      <w:tr>
        <w:tc>
          <w:tcPr>
            <w:tcW w:w="2152" w:type="dxa"/>
          </w:tcPr>
          <w:p>
            <w:pPr>
              <w:pStyle w:val="TAC"/>
            </w:pPr>
            <w:r>
              <w:t xml:space="preserve">30 MHz </w:t>
            </w:r>
            <w:r>
              <w:sym w:font="Symbol" w:char="F0A3"/>
            </w:r>
            <w:r>
              <w:t xml:space="preserve"> f &lt; 1000 MHz</w:t>
            </w:r>
          </w:p>
        </w:tc>
        <w:tc>
          <w:tcPr>
            <w:tcW w:w="1522" w:type="dxa"/>
          </w:tcPr>
          <w:p>
            <w:pPr>
              <w:pStyle w:val="TAC"/>
            </w:pPr>
            <w:r>
              <w:t>-36 dBm</w:t>
            </w:r>
          </w:p>
        </w:tc>
        <w:tc>
          <w:tcPr>
            <w:tcW w:w="2262" w:type="dxa"/>
          </w:tcPr>
          <w:p>
            <w:pPr>
              <w:pStyle w:val="TAC"/>
            </w:pPr>
            <w:r>
              <w:t>100 kHz</w:t>
            </w:r>
          </w:p>
        </w:tc>
        <w:tc>
          <w:tcPr>
            <w:tcW w:w="868" w:type="dxa"/>
          </w:tcPr>
          <w:p>
            <w:pPr>
              <w:pStyle w:val="TAC"/>
            </w:pPr>
          </w:p>
        </w:tc>
      </w:tr>
      <w:tr>
        <w:tc>
          <w:tcPr>
            <w:tcW w:w="2152" w:type="dxa"/>
            <w:vMerge w:val="restart"/>
          </w:tcPr>
          <w:p>
            <w:pPr>
              <w:pStyle w:val="TAC"/>
            </w:pPr>
            <w:r>
              <w:t xml:space="preserve">1 GHz </w:t>
            </w:r>
            <w:r>
              <w:sym w:font="Symbol" w:char="F0A3"/>
            </w:r>
            <w:r>
              <w:t xml:space="preserve"> f &lt; 12.75 GHz</w:t>
            </w:r>
          </w:p>
        </w:tc>
        <w:tc>
          <w:tcPr>
            <w:tcW w:w="1522" w:type="dxa"/>
          </w:tcPr>
          <w:p>
            <w:pPr>
              <w:pStyle w:val="TAC"/>
            </w:pPr>
            <w:r>
              <w:t>-30 dBm</w:t>
            </w:r>
          </w:p>
        </w:tc>
        <w:tc>
          <w:tcPr>
            <w:tcW w:w="2262" w:type="dxa"/>
          </w:tcPr>
          <w:p>
            <w:pPr>
              <w:pStyle w:val="TAC"/>
            </w:pPr>
            <w:r>
              <w:t>1 MHz</w:t>
            </w:r>
          </w:p>
        </w:tc>
        <w:tc>
          <w:tcPr>
            <w:tcW w:w="868" w:type="dxa"/>
          </w:tcPr>
          <w:p>
            <w:pPr>
              <w:pStyle w:val="TAC"/>
            </w:pPr>
            <w:r>
              <w:t>4</w:t>
            </w:r>
          </w:p>
        </w:tc>
      </w:tr>
      <w:tr>
        <w:tc>
          <w:tcPr>
            <w:tcW w:w="2152" w:type="dxa"/>
            <w:vMerge/>
          </w:tcPr>
          <w:p>
            <w:pPr>
              <w:pStyle w:val="TAC"/>
            </w:pPr>
          </w:p>
        </w:tc>
        <w:tc>
          <w:tcPr>
            <w:tcW w:w="1522" w:type="dxa"/>
          </w:tcPr>
          <w:p>
            <w:pPr>
              <w:pStyle w:val="TAC"/>
            </w:pPr>
            <w:r>
              <w:t>-25 dBm</w:t>
            </w:r>
          </w:p>
        </w:tc>
        <w:tc>
          <w:tcPr>
            <w:tcW w:w="2262" w:type="dxa"/>
          </w:tcPr>
          <w:p>
            <w:pPr>
              <w:pStyle w:val="TAC"/>
            </w:pPr>
            <w:r>
              <w:t>1 MHz</w:t>
            </w:r>
          </w:p>
        </w:tc>
        <w:tc>
          <w:tcPr>
            <w:tcW w:w="868" w:type="dxa"/>
          </w:tcPr>
          <w:p>
            <w:pPr>
              <w:pStyle w:val="TAC"/>
            </w:pPr>
            <w:r>
              <w:t>3</w:t>
            </w:r>
          </w:p>
        </w:tc>
      </w:tr>
      <w:tr>
        <w:tc>
          <w:tcPr>
            <w:tcW w:w="2152" w:type="dxa"/>
            <w:vAlign w:val="center"/>
          </w:tcPr>
          <w:p>
            <w:pPr>
              <w:pStyle w:val="TAC"/>
            </w:pPr>
            <w:r>
              <w:t>12.75 GHz ≤ f &lt; 5th harmonic of the upper frequency edge of the UL operating band in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1</w:t>
            </w:r>
          </w:p>
        </w:tc>
      </w:tr>
      <w:tr>
        <w:tc>
          <w:tcPr>
            <w:tcW w:w="2152" w:type="dxa"/>
            <w:vAlign w:val="center"/>
          </w:tcPr>
          <w:p>
            <w:pPr>
              <w:pStyle w:val="TAC"/>
            </w:pPr>
            <w:r>
              <w:t>12.75 GHz &lt; f &lt; 26 GHz</w:t>
            </w:r>
          </w:p>
        </w:tc>
        <w:tc>
          <w:tcPr>
            <w:tcW w:w="1522" w:type="dxa"/>
            <w:vAlign w:val="center"/>
          </w:tcPr>
          <w:p>
            <w:pPr>
              <w:pStyle w:val="TAC"/>
            </w:pPr>
            <w:r>
              <w:t>-30 dBm</w:t>
            </w:r>
          </w:p>
        </w:tc>
        <w:tc>
          <w:tcPr>
            <w:tcW w:w="2262" w:type="dxa"/>
            <w:vAlign w:val="center"/>
          </w:tcPr>
          <w:p>
            <w:pPr>
              <w:pStyle w:val="TAC"/>
            </w:pPr>
            <w:r>
              <w:t>1 MHz</w:t>
            </w:r>
          </w:p>
        </w:tc>
        <w:tc>
          <w:tcPr>
            <w:tcW w:w="868" w:type="dxa"/>
            <w:vAlign w:val="center"/>
          </w:tcPr>
          <w:p>
            <w:pPr>
              <w:pStyle w:val="TAC"/>
            </w:pPr>
            <w:r>
              <w:t>2</w:t>
            </w:r>
          </w:p>
        </w:tc>
      </w:tr>
      <w:tr>
        <w:tc>
          <w:tcPr>
            <w:tcW w:w="6804" w:type="dxa"/>
            <w:gridSpan w:val="4"/>
          </w:tcPr>
          <w:p>
            <w:pPr>
              <w:pStyle w:val="TAN"/>
              <w:rPr>
                <w:lang w:eastAsia="zh-CN"/>
              </w:rPr>
            </w:pPr>
            <w:r>
              <w:t>NOTE 1:</w:t>
            </w:r>
            <w:r>
              <w:tab/>
              <w:t>Applies for</w:t>
            </w:r>
            <w:r>
              <w:rPr>
                <w:lang w:eastAsia="zh-CN"/>
              </w:rPr>
              <w:t xml:space="preserve"> Band for which the upper frequency edge of the UL Band is greater than 2.55 GHz and less than or equal to 5.2 GHz</w:t>
            </w:r>
          </w:p>
          <w:p>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GHz</w:t>
            </w:r>
          </w:p>
          <w:p>
            <w:pPr>
              <w:pStyle w:val="TAN"/>
              <w:rPr>
                <w:lang w:eastAsia="zh-CN"/>
              </w:rPr>
            </w:pPr>
            <w:r>
              <w:rPr>
                <w:lang w:eastAsia="zh-CN"/>
              </w:rPr>
              <w:t>NOTE 3:</w:t>
            </w:r>
            <w:r>
              <w:rPr>
                <w:lang w:eastAsia="zh-CN"/>
              </w:rPr>
              <w:tab/>
              <w:t>Applies for Band n41, CA configurations including Band n41, and EN-DC configurations that include n41 specified in sub-clause 5.2B of 38.101-3 [4] when NS_04 is signalled.</w:t>
            </w:r>
          </w:p>
          <w:p>
            <w:pPr>
              <w:pStyle w:val="TAN"/>
              <w:rPr>
                <w:lang w:eastAsia="zh-CN"/>
              </w:rPr>
            </w:pPr>
            <w:r>
              <w:rPr>
                <w:lang w:eastAsia="zh-CN"/>
              </w:rPr>
              <w:t>NOTE 4:</w:t>
            </w:r>
            <w:r>
              <w:rPr>
                <w:lang w:eastAsia="zh-CN"/>
              </w:rPr>
              <w:tab/>
              <w:t>Does not apply for Band n41, CA configurations including Band n41, and EN-DC configurations that include n41 specified in subclause 5.2B of TS 38.101-3 [4] when NS_04 is signalled.</w:t>
            </w:r>
          </w:p>
        </w:tc>
      </w:tr>
    </w:tbl>
    <w:p/>
    <w:p>
      <w:pPr>
        <w:pStyle w:val="Heading4"/>
      </w:pPr>
      <w:bookmarkStart w:id="56" w:name="_Toc27478182"/>
      <w:bookmarkStart w:id="57" w:name="_Toc36226894"/>
      <w:bookmarkStart w:id="58" w:name="_Toc44324179"/>
      <w:bookmarkStart w:id="59" w:name="_Toc52990373"/>
      <w:bookmarkStart w:id="60" w:name="_Toc60823572"/>
      <w:bookmarkStart w:id="61" w:name="_Toc60825494"/>
      <w:bookmarkStart w:id="62" w:name="_Toc69306278"/>
      <w:bookmarkStart w:id="63" w:name="_Toc69309943"/>
      <w:bookmarkStart w:id="64" w:name="_Toc76020266"/>
      <w:bookmarkStart w:id="65" w:name="_Toc83720749"/>
      <w:r>
        <w:t>6.5.3.2</w:t>
      </w:r>
      <w:r>
        <w:tab/>
        <w:t>Spurious emissions for UE co-existence</w:t>
      </w:r>
      <w:bookmarkEnd w:id="56"/>
      <w:bookmarkEnd w:id="57"/>
      <w:bookmarkEnd w:id="58"/>
      <w:bookmarkEnd w:id="59"/>
      <w:bookmarkEnd w:id="60"/>
      <w:bookmarkEnd w:id="61"/>
      <w:bookmarkEnd w:id="62"/>
      <w:bookmarkEnd w:id="63"/>
      <w:bookmarkEnd w:id="64"/>
      <w:bookmarkEnd w:id="65"/>
    </w:p>
    <w:p>
      <w:pPr>
        <w:pStyle w:val="H6"/>
      </w:pPr>
      <w:bookmarkStart w:id="66" w:name="_Toc27478183"/>
      <w:bookmarkStart w:id="67" w:name="_Toc36226895"/>
      <w:bookmarkStart w:id="68" w:name="_Toc44324180"/>
      <w:bookmarkStart w:id="69" w:name="_Toc52990374"/>
      <w:bookmarkStart w:id="70" w:name="_Toc60823573"/>
      <w:bookmarkStart w:id="71" w:name="_Toc60825495"/>
      <w:r>
        <w:t>6.5.3.2.1</w:t>
      </w:r>
      <w:r>
        <w:tab/>
        <w:t>Test purpose</w:t>
      </w:r>
      <w:bookmarkEnd w:id="66"/>
      <w:bookmarkEnd w:id="67"/>
      <w:bookmarkEnd w:id="68"/>
      <w:bookmarkEnd w:id="69"/>
      <w:bookmarkEnd w:id="70"/>
      <w:bookmarkEnd w:id="71"/>
    </w:p>
    <w:p>
      <w:r>
        <w:t>To verify that UE transmitter does not cause unacceptable interference to co-existing systems for the specified bands which has specific requirements in terms of transmitter spurious emissions.</w:t>
      </w:r>
    </w:p>
    <w:p>
      <w:pPr>
        <w:pStyle w:val="H6"/>
      </w:pPr>
      <w:bookmarkStart w:id="72" w:name="_Toc27478184"/>
      <w:bookmarkStart w:id="73" w:name="_Toc36226896"/>
      <w:bookmarkStart w:id="74" w:name="_Toc44324181"/>
      <w:bookmarkStart w:id="75" w:name="_Toc52990375"/>
      <w:bookmarkStart w:id="76" w:name="_Toc60823574"/>
      <w:bookmarkStart w:id="77" w:name="_Toc60825496"/>
      <w:r>
        <w:t>6.5.3.2.2</w:t>
      </w:r>
      <w:r>
        <w:tab/>
        <w:t>Test applicability</w:t>
      </w:r>
      <w:bookmarkEnd w:id="72"/>
      <w:bookmarkEnd w:id="73"/>
      <w:bookmarkEnd w:id="74"/>
      <w:bookmarkEnd w:id="75"/>
      <w:bookmarkEnd w:id="76"/>
      <w:bookmarkEnd w:id="77"/>
    </w:p>
    <w:p>
      <w:r>
        <w:t>This test case applies to all types of NR UE release 15 and forward.</w:t>
      </w:r>
    </w:p>
    <w:p>
      <w:pPr>
        <w:pStyle w:val="H6"/>
      </w:pPr>
      <w:bookmarkStart w:id="78" w:name="_Toc27478185"/>
      <w:bookmarkStart w:id="79" w:name="_Toc36226897"/>
      <w:bookmarkStart w:id="80" w:name="_Toc44324182"/>
      <w:bookmarkStart w:id="81" w:name="_Toc52990376"/>
      <w:bookmarkStart w:id="82" w:name="_Toc60823575"/>
      <w:bookmarkStart w:id="83" w:name="_Toc60825497"/>
      <w:r>
        <w:t>6.5.3.2.3</w:t>
      </w:r>
      <w:r>
        <w:tab/>
        <w:t>Minimum conformance requirements</w:t>
      </w:r>
      <w:bookmarkEnd w:id="78"/>
      <w:bookmarkEnd w:id="79"/>
      <w:bookmarkEnd w:id="80"/>
      <w:bookmarkEnd w:id="81"/>
      <w:bookmarkEnd w:id="82"/>
      <w:bookmarkEnd w:id="83"/>
    </w:p>
    <w:p>
      <w:pPr>
        <w:rPr>
          <w:rFonts w:eastAsia="MS Mincho"/>
        </w:rPr>
      </w:pPr>
      <w:r>
        <w:t xml:space="preserve">This clause specifies the requirements for the specified NR band for coexistence with protected bands as indicated in Tables 6.5.3.2.3-1 to 6.5.3.2.3-3.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TH"/>
      </w:pPr>
      <w: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5, 7, 8, 11, 18, 19, 20, 21, 22, 26, 27, 28, 31, 32, 38, 40, 41, 42, 43, 44, 45, 50, 51, 52, 65, 67, 68, 69, 72, 73,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5, 7, 8, 20, 26, 27, 28, 31, 32, 33, 34, 38, 39, 40, 41, 43, 44, 45, 50, 51, 65, 67, 68, 69, 72, 73,74, 75, 76</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w:t>
            </w: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22, 42, 52</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18, 19, 24, 25, 26, 28, 29, 30, 31, 34, 38, 40, 42, 43, 45, 48, 50, 51, 65, 66, 70, 71, 73, 74, 85</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41, 52, 53</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20, 22, 26, 27, 28, 29, 30, 31, 32, 33, 34, 40, 42, 43, 50, 51, 52, 65, 66, 67, 68, 72, 74, 75, 76,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ins w:id="84" w:author="Kevin Wang (QMC)" w:date="2022-08-17T17:12:00Z"/>
        </w:trPr>
        <w:tc>
          <w:tcPr>
            <w:tcW w:w="959" w:type="dxa"/>
            <w:vMerge/>
            <w:tcBorders>
              <w:left w:val="single" w:sz="4" w:space="0" w:color="auto"/>
              <w:right w:val="single" w:sz="6" w:space="0" w:color="auto"/>
            </w:tcBorders>
          </w:tcPr>
          <w:p>
            <w:pPr>
              <w:pStyle w:val="TAC"/>
              <w:rPr>
                <w:ins w:id="85" w:author="Kevin Wang (QMC)" w:date="2022-08-17T17:12:00Z"/>
              </w:rPr>
            </w:pPr>
          </w:p>
        </w:tc>
        <w:tc>
          <w:tcPr>
            <w:tcW w:w="2831" w:type="dxa"/>
            <w:tcBorders>
              <w:top w:val="single" w:sz="6" w:space="0" w:color="auto"/>
              <w:left w:val="single" w:sz="6" w:space="0" w:color="auto"/>
              <w:bottom w:val="single" w:sz="6" w:space="0" w:color="auto"/>
              <w:right w:val="single" w:sz="6" w:space="0" w:color="auto"/>
            </w:tcBorders>
          </w:tcPr>
          <w:p>
            <w:pPr>
              <w:pStyle w:val="TAL"/>
              <w:rPr>
                <w:ins w:id="86" w:author="Kevin Wang (QMC)" w:date="2022-08-17T17:12:00Z"/>
                <w:highlight w:val="yellow"/>
              </w:rPr>
            </w:pPr>
            <w:ins w:id="87" w:author="Kevin Wang (QMC)" w:date="2022-08-17T17:13:00Z">
              <w:r>
                <w:rPr>
                  <w:rFonts w:cs="Arial"/>
                  <w:szCs w:val="18"/>
                  <w:highlight w:val="yellow"/>
                  <w:lang w:val="en-US" w:eastAsia="fr-FR"/>
                </w:rPr>
                <w:t>NR Band n79</w:t>
              </w:r>
            </w:ins>
          </w:p>
        </w:tc>
        <w:tc>
          <w:tcPr>
            <w:tcW w:w="964" w:type="dxa"/>
            <w:tcBorders>
              <w:top w:val="single" w:sz="6" w:space="0" w:color="auto"/>
              <w:left w:val="single" w:sz="6" w:space="0" w:color="auto"/>
              <w:bottom w:val="single" w:sz="6" w:space="0" w:color="auto"/>
              <w:right w:val="single" w:sz="6" w:space="0" w:color="auto"/>
            </w:tcBorders>
          </w:tcPr>
          <w:p>
            <w:pPr>
              <w:pStyle w:val="TAC"/>
              <w:rPr>
                <w:ins w:id="88" w:author="Kevin Wang (QMC)" w:date="2022-08-17T17:12:00Z"/>
                <w:highlight w:val="yellow"/>
              </w:rPr>
            </w:pPr>
            <w:proofErr w:type="spellStart"/>
            <w:ins w:id="89" w:author="Kevin Wang (QMC)" w:date="2022-08-17T17:13:00Z">
              <w:r>
                <w:rPr>
                  <w:highlight w:val="yellow"/>
                </w:rPr>
                <w:t>F</w:t>
              </w:r>
              <w:r>
                <w:rPr>
                  <w:highlight w:val="yellow"/>
                  <w:vertAlign w:val="subscript"/>
                </w:rPr>
                <w:t>DL_low</w:t>
              </w:r>
            </w:ins>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rPr>
                <w:ins w:id="90" w:author="Kevin Wang (QMC)" w:date="2022-08-17T17:12:00Z"/>
                <w:highlight w:val="yellow"/>
              </w:rPr>
            </w:pPr>
            <w:ins w:id="91" w:author="Kevin Wang (QMC)" w:date="2022-08-17T17:13:00Z">
              <w:r>
                <w:rPr>
                  <w:highlight w:val="yellow"/>
                </w:rPr>
                <w:t>-</w:t>
              </w:r>
            </w:ins>
          </w:p>
        </w:tc>
        <w:tc>
          <w:tcPr>
            <w:tcW w:w="1174" w:type="dxa"/>
            <w:tcBorders>
              <w:top w:val="single" w:sz="6" w:space="0" w:color="auto"/>
              <w:left w:val="single" w:sz="6" w:space="0" w:color="auto"/>
              <w:bottom w:val="single" w:sz="6" w:space="0" w:color="auto"/>
              <w:right w:val="single" w:sz="6" w:space="0" w:color="auto"/>
            </w:tcBorders>
          </w:tcPr>
          <w:p>
            <w:pPr>
              <w:pStyle w:val="TAC"/>
              <w:rPr>
                <w:ins w:id="92" w:author="Kevin Wang (QMC)" w:date="2022-08-17T17:12:00Z"/>
                <w:highlight w:val="yellow"/>
              </w:rPr>
            </w:pPr>
            <w:proofErr w:type="spellStart"/>
            <w:ins w:id="93" w:author="Kevin Wang (QMC)" w:date="2022-08-17T17:13:00Z">
              <w:r>
                <w:rPr>
                  <w:rStyle w:val="TALCar"/>
                  <w:highlight w:val="yellow"/>
                </w:rPr>
                <w:t>F</w:t>
              </w:r>
              <w:r>
                <w:rPr>
                  <w:rStyle w:val="TALCar"/>
                  <w:highlight w:val="yellow"/>
                  <w:vertAlign w:val="subscript"/>
                </w:rPr>
                <w:t>DL_high</w:t>
              </w:r>
            </w:ins>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rPr>
                <w:ins w:id="94" w:author="Kevin Wang (QMC)" w:date="2022-08-17T17:12:00Z"/>
                <w:highlight w:val="yellow"/>
              </w:rPr>
            </w:pPr>
            <w:ins w:id="95" w:author="Kevin Wang (QMC)" w:date="2022-08-17T17:13:00Z">
              <w:r>
                <w:rPr>
                  <w:highlight w:val="yellow"/>
                </w:rPr>
                <w:t>-50</w:t>
              </w:r>
            </w:ins>
          </w:p>
        </w:tc>
        <w:tc>
          <w:tcPr>
            <w:tcW w:w="850" w:type="dxa"/>
            <w:tcBorders>
              <w:top w:val="single" w:sz="6" w:space="0" w:color="auto"/>
              <w:left w:val="single" w:sz="6" w:space="0" w:color="auto"/>
              <w:bottom w:val="single" w:sz="6" w:space="0" w:color="auto"/>
              <w:right w:val="single" w:sz="6" w:space="0" w:color="auto"/>
            </w:tcBorders>
            <w:noWrap/>
          </w:tcPr>
          <w:p>
            <w:pPr>
              <w:pStyle w:val="TAC"/>
              <w:rPr>
                <w:ins w:id="96" w:author="Kevin Wang (QMC)" w:date="2022-08-17T17:12:00Z"/>
                <w:highlight w:val="yellow"/>
              </w:rPr>
            </w:pPr>
            <w:ins w:id="97" w:author="Kevin Wang (QMC)" w:date="2022-08-17T17:13:00Z">
              <w:r>
                <w:rPr>
                  <w:highlight w:val="yellow"/>
                </w:rPr>
                <w:t>1</w:t>
              </w:r>
            </w:ins>
          </w:p>
        </w:tc>
        <w:tc>
          <w:tcPr>
            <w:tcW w:w="928" w:type="dxa"/>
            <w:tcBorders>
              <w:top w:val="single" w:sz="6" w:space="0" w:color="auto"/>
              <w:left w:val="single" w:sz="6" w:space="0" w:color="auto"/>
              <w:bottom w:val="single" w:sz="6" w:space="0" w:color="auto"/>
              <w:right w:val="single" w:sz="4" w:space="0" w:color="auto"/>
            </w:tcBorders>
            <w:noWrap/>
          </w:tcPr>
          <w:p>
            <w:pPr>
              <w:pStyle w:val="TAC"/>
              <w:rPr>
                <w:ins w:id="98" w:author="Kevin Wang (QMC)" w:date="2022-08-17T17:12:00Z"/>
                <w:highlight w:val="yellow"/>
              </w:rPr>
            </w:pPr>
            <w:ins w:id="99" w:author="Kevin Wang (QMC)" w:date="2022-08-17T17:13:00Z">
              <w:r>
                <w:rPr>
                  <w:highlight w:val="yellow"/>
                </w:rPr>
                <w:t>2</w:t>
              </w:r>
            </w:ins>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 7, 22, 41, 42, 43, 52,</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48, 51, 66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38, 42, 52, 69</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4, 22, 32, 42, 43, 50, 51, 65, 66,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3, 5, 7, 8, 18, 19, 20, 25, 26, 27, 31, 34, 38, 40, 41, 52, 72, 73</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11, 18, 19, 20, 21, 22, 26, 28, 31, 32, 33, 38, 39, 40, 41, 42, 43, 44, 45, 50, 51, 52, 65, 67, 69, 72,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8, 22, 26, 34, 40, 41, 42, 44, 45, 50, 51, 52, 74</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22, 26, 27, 28, 31, 32, 33, 34, 38, 39, 41, 42, 43, 44, 45, 50, 51, 52, 65, 67, 68, 69, 72,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n41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24, 25, 26, 27, 28, 29, 30, 34, 39, 42, 44, 45, 48, 50, 51, 52, 65, 66, 70, 71, 73, 74,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42, 48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25, 41, 70</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top w:val="single" w:sz="6" w:space="0" w:color="auto"/>
              <w:left w:val="single" w:sz="4" w:space="0" w:color="auto"/>
              <w:bottom w:val="nil"/>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18, 19, 20, 26, 28, 29, 31, 34, 38, 39, 40, 41, 42, 43, 48, 52, 65, 66, 67, 68,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42</w:t>
            </w:r>
          </w:p>
        </w:tc>
      </w:tr>
      <w:tr>
        <w:trPr>
          <w:trHeight w:val="225"/>
          <w:jc w:val="center"/>
        </w:trPr>
        <w:tc>
          <w:tcPr>
            <w:tcW w:w="959" w:type="dxa"/>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15, 42</w:t>
            </w:r>
          </w:p>
        </w:tc>
      </w:tr>
      <w:tr>
        <w:trPr>
          <w:trHeight w:val="225"/>
          <w:jc w:val="center"/>
        </w:trPr>
        <w:tc>
          <w:tcPr>
            <w:tcW w:w="959" w:type="dxa"/>
            <w:tcBorders>
              <w:top w:val="nil"/>
              <w:left w:val="single" w:sz="4" w:space="0" w:color="auto"/>
              <w:bottom w:val="nil"/>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tcBorders>
              <w:top w:val="nil"/>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705"/>
          <w:jc w:val="center"/>
        </w:trPr>
        <w:tc>
          <w:tcPr>
            <w:tcW w:w="959" w:type="dxa"/>
            <w:vMerge w:val="restart"/>
            <w:tcBorders>
              <w:left w:val="single" w:sz="4" w:space="0" w:color="auto"/>
              <w:right w:val="single" w:sz="6" w:space="0" w:color="auto"/>
            </w:tcBorders>
          </w:tcPr>
          <w:p>
            <w:pPr>
              <w:pStyle w:val="TAC"/>
            </w:pPr>
            <w:r>
              <w:t>n77</w:t>
            </w:r>
          </w:p>
        </w:tc>
        <w:tc>
          <w:tcPr>
            <w:tcW w:w="2831" w:type="dxa"/>
            <w:tcBorders>
              <w:top w:val="single" w:sz="6" w:space="0" w:color="auto"/>
              <w:left w:val="single" w:sz="6" w:space="0" w:color="auto"/>
              <w:right w:val="single" w:sz="6" w:space="0" w:color="auto"/>
            </w:tcBorders>
          </w:tcPr>
          <w:p>
            <w:pPr>
              <w:pStyle w:val="TAL"/>
            </w:pPr>
            <w:r>
              <w:t>E-UTRA Band 1, 3, 5, 7, 8, 11, 18, 19, 20, 21, 26, 28, 34, 39, 40, 41, 65, 74</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rPr>
                <w:rFonts w:cs="Arial"/>
                <w:szCs w:val="18"/>
              </w:rPr>
              <w:t>-</w:t>
            </w: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r>
              <w:t xml:space="preserve"> </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L"/>
            </w:pPr>
            <w:r>
              <w:t>E-UTRA Band 1, 3, 5</w:t>
            </w:r>
            <w:r>
              <w:rPr>
                <w:highlight w:val="yellow"/>
              </w:rPr>
              <w:t xml:space="preserve">, </w:t>
            </w:r>
            <w:ins w:id="100" w:author="Kevin Wang (QMC)" w:date="2022-08-17T17:14:00Z">
              <w:r>
                <w:rPr>
                  <w:highlight w:val="yellow"/>
                </w:rPr>
                <w:t>7,</w:t>
              </w:r>
              <w:r>
                <w:t xml:space="preserve"> </w:t>
              </w:r>
            </w:ins>
            <w:r>
              <w:t>8, 11, 18, 19, 21, 28, 34, 39, 40, 41, 42, 65, 74</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r>
              <w:t xml:space="preserve"> </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PL"/>
              <w:rPr>
                <w:noProof w:val="0"/>
              </w:rPr>
            </w:pPr>
            <w:r>
              <w:rPr>
                <w:rFonts w:cs="Arial"/>
                <w:noProof w:val="0"/>
                <w:szCs w:val="18"/>
              </w:rPr>
              <w:t>1</w:t>
            </w:r>
          </w:p>
        </w:tc>
        <w:tc>
          <w:tcPr>
            <w:tcW w:w="928" w:type="dxa"/>
            <w:tcBorders>
              <w:top w:val="single" w:sz="6" w:space="0" w:color="auto"/>
              <w:left w:val="single" w:sz="6" w:space="0" w:color="auto"/>
              <w:right w:val="single" w:sz="4" w:space="0" w:color="auto"/>
            </w:tcBorders>
            <w:noWrap/>
          </w:tcPr>
          <w:p>
            <w:pPr>
              <w:pStyle w:val="PL"/>
              <w:rPr>
                <w:noProof w:val="0"/>
              </w:rPr>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r>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for NR band, Table 5.2-1 in TS 36.521-1 [21] for E-UTRA band.</w:t>
            </w:r>
          </w:p>
          <w:p>
            <w:pPr>
              <w:pStyle w:val="TAN"/>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t>RBSizekHz</w:t>
            </w:r>
            <w:proofErr w:type="spellEnd"/>
            <w:r>
              <w:t xml:space="preserve">), where N is 2, 3, 4, [5] for the 2nd, 3rd, 4th [or 5th] </w:t>
            </w:r>
            <w:proofErr w:type="gramStart"/>
            <w:r>
              <w:t>harmonic</w:t>
            </w:r>
            <w:proofErr w:type="gramEnd"/>
            <w:r>
              <w:t xml:space="preserve">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 xml:space="preserve">For </w:t>
            </w:r>
            <w:proofErr w:type="spellStart"/>
            <w:r>
              <w:t>non synchronised</w:t>
            </w:r>
            <w:proofErr w:type="spellEnd"/>
            <w:r>
              <w:t xml:space="preserve">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Void</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 xml:space="preserve">Applicable when the assigned NR carrier is confined within 718 MHz and 748 MHz and when the channel bandwidth used is 5 or 10 </w:t>
            </w:r>
            <w:proofErr w:type="spellStart"/>
            <w:r>
              <w:t>MHz.</w:t>
            </w:r>
            <w:proofErr w:type="spellEnd"/>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p>
          <w:p>
            <w:pPr>
              <w:pStyle w:val="TAN"/>
            </w:pPr>
            <w:r>
              <w:t>NOTE 34:</w:t>
            </w:r>
            <w: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rPr>
                <w:vertAlign w:val="subscript"/>
              </w:rPr>
              <w:t xml:space="preserve">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pPr>
              <w:pStyle w:val="TAN"/>
            </w:pPr>
            <w:r>
              <w:t>NOTE 43:</w:t>
            </w:r>
            <w:r>
              <w:tab/>
              <w:t>Void</w:t>
            </w:r>
          </w:p>
          <w:p>
            <w:pPr>
              <w:pStyle w:val="TAN"/>
            </w:pPr>
            <w:r>
              <w:t>NOTE 44:</w:t>
            </w:r>
            <w:r>
              <w:tab/>
              <w:t>Void</w:t>
            </w:r>
          </w:p>
          <w:p>
            <w:pPr>
              <w:pStyle w:val="TAN"/>
            </w:pPr>
            <w:r>
              <w:t>NOTE 45:</w:t>
            </w:r>
            <w:r>
              <w:tab/>
              <w:t>Applicable when upper edge of the assigned NR UL channel bandwidth frequency is equal to or less than 1460MHz.</w:t>
            </w:r>
          </w:p>
          <w:p>
            <w:pPr>
              <w:pStyle w:val="TAN"/>
            </w:pPr>
            <w:r>
              <w:t>NOTE 46:</w:t>
            </w:r>
            <w:r>
              <w:tab/>
              <w:t xml:space="preserve">Applicable for 5MHz bandwidth and when the NR carrier is within 1447.9 – 1462.9 </w:t>
            </w:r>
            <w:proofErr w:type="spellStart"/>
            <w:r>
              <w:t>MHz.</w:t>
            </w:r>
            <w:proofErr w:type="spellEnd"/>
          </w:p>
        </w:tc>
      </w:tr>
    </w:tbl>
    <w:p/>
    <w:p>
      <w:pPr>
        <w:pStyle w:val="NO"/>
      </w:pPr>
      <w:r>
        <w:t>NOTE:</w:t>
      </w:r>
      <w:r>
        <w:tab/>
        <w:t>To simplify Table 6.5.3.2.3-1, E-UTRA band numbers are listed for bands which are specified only for E-UTRA operation or both E-UTRA and NR operation. NR band numbers are listed for bands which are specified only for NR operation.</w:t>
      </w:r>
    </w:p>
    <w:p>
      <w:r>
        <w:t>Table 6.5.3.2.3-2 Requirements for spurious emissions for UE co-existence Rel-16 specifies the requirements for NR bands for coexistence with protected bands.</w:t>
      </w: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5, 7, 8, 11, 18, 19, 20, 21, 22, 26, 27, 28, 31, 32, 38, 40, 41, 42, 43, 44, 45, 50, 51, 52, 65, 67, 68, 69, 72, 73,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43 </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5, 7, 8, 20, 26, 27, 28, 31, 32, 33, 34, 38, 39, 40, 41, 43, 44, 45, 50, 51, 65, 67, 68, 69, 72, 73,74, 75, 76</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w:t>
            </w: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22, 42,52</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41, 52, 53 </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14, 17, 20, 22, 26, 27, 28, 29, 30, 31, 32, 33, 34, 40, 42, 43, 50, 51, 52, 65, 66, 67, 68, 72, 74, 75, 76,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ins w:id="101" w:author="Kevin Wang (QMC)" w:date="2022-08-05T13:11:00Z"/>
        </w:trPr>
        <w:tc>
          <w:tcPr>
            <w:tcW w:w="959" w:type="dxa"/>
            <w:vMerge/>
            <w:tcBorders>
              <w:left w:val="single" w:sz="4" w:space="0" w:color="auto"/>
              <w:right w:val="single" w:sz="6" w:space="0" w:color="auto"/>
            </w:tcBorders>
          </w:tcPr>
          <w:p>
            <w:pPr>
              <w:pStyle w:val="TAC"/>
              <w:rPr>
                <w:ins w:id="102" w:author="Kevin Wang (QMC)" w:date="2022-08-05T13:11:00Z"/>
              </w:rPr>
            </w:pPr>
          </w:p>
        </w:tc>
        <w:tc>
          <w:tcPr>
            <w:tcW w:w="2831" w:type="dxa"/>
            <w:tcBorders>
              <w:top w:val="single" w:sz="6" w:space="0" w:color="auto"/>
              <w:left w:val="single" w:sz="6" w:space="0" w:color="auto"/>
              <w:bottom w:val="single" w:sz="6" w:space="0" w:color="auto"/>
              <w:right w:val="single" w:sz="6" w:space="0" w:color="auto"/>
            </w:tcBorders>
          </w:tcPr>
          <w:p>
            <w:pPr>
              <w:pStyle w:val="TAL"/>
              <w:rPr>
                <w:ins w:id="103" w:author="Kevin Wang (QMC)" w:date="2022-08-05T13:11:00Z"/>
              </w:rPr>
            </w:pPr>
            <w:ins w:id="104" w:author="Kevin Wang (QMC)" w:date="2022-08-05T13:11:00Z">
              <w:r>
                <w:rPr>
                  <w:lang w:val="sv-FI"/>
                </w:rPr>
                <w:t>NR Band n79</w:t>
              </w:r>
            </w:ins>
          </w:p>
        </w:tc>
        <w:tc>
          <w:tcPr>
            <w:tcW w:w="964" w:type="dxa"/>
            <w:tcBorders>
              <w:top w:val="single" w:sz="6" w:space="0" w:color="auto"/>
              <w:left w:val="single" w:sz="6" w:space="0" w:color="auto"/>
              <w:bottom w:val="single" w:sz="6" w:space="0" w:color="auto"/>
              <w:right w:val="single" w:sz="6" w:space="0" w:color="auto"/>
            </w:tcBorders>
          </w:tcPr>
          <w:p>
            <w:pPr>
              <w:pStyle w:val="TAC"/>
              <w:rPr>
                <w:ins w:id="105" w:author="Kevin Wang (QMC)" w:date="2022-08-05T13:11:00Z"/>
              </w:rPr>
            </w:pPr>
            <w:proofErr w:type="spellStart"/>
            <w:ins w:id="106" w:author="Kevin Wang (QMC)" w:date="2022-08-05T13:11:00Z">
              <w:r>
                <w:t>F</w:t>
              </w:r>
              <w:r>
                <w:rPr>
                  <w:vertAlign w:val="subscript"/>
                </w:rPr>
                <w:t>DL_low</w:t>
              </w:r>
              <w:proofErr w:type="spellEnd"/>
            </w:ins>
          </w:p>
        </w:tc>
        <w:tc>
          <w:tcPr>
            <w:tcW w:w="386" w:type="dxa"/>
            <w:tcBorders>
              <w:top w:val="single" w:sz="6" w:space="0" w:color="auto"/>
              <w:left w:val="single" w:sz="6" w:space="0" w:color="auto"/>
              <w:bottom w:val="single" w:sz="6" w:space="0" w:color="auto"/>
              <w:right w:val="single" w:sz="6" w:space="0" w:color="auto"/>
            </w:tcBorders>
          </w:tcPr>
          <w:p>
            <w:pPr>
              <w:pStyle w:val="TAC"/>
              <w:rPr>
                <w:ins w:id="107" w:author="Kevin Wang (QMC)" w:date="2022-08-05T13:11:00Z"/>
              </w:rPr>
            </w:pPr>
            <w:ins w:id="108" w:author="Kevin Wang (QMC)" w:date="2022-08-05T13:11:00Z">
              <w:r>
                <w:t>-</w:t>
              </w:r>
            </w:ins>
          </w:p>
        </w:tc>
        <w:tc>
          <w:tcPr>
            <w:tcW w:w="1174" w:type="dxa"/>
            <w:tcBorders>
              <w:top w:val="single" w:sz="6" w:space="0" w:color="auto"/>
              <w:left w:val="single" w:sz="6" w:space="0" w:color="auto"/>
              <w:bottom w:val="single" w:sz="6" w:space="0" w:color="auto"/>
              <w:right w:val="single" w:sz="6" w:space="0" w:color="auto"/>
            </w:tcBorders>
          </w:tcPr>
          <w:p>
            <w:pPr>
              <w:pStyle w:val="TAC"/>
              <w:rPr>
                <w:ins w:id="109" w:author="Kevin Wang (QMC)" w:date="2022-08-05T13:11:00Z"/>
              </w:rPr>
            </w:pPr>
            <w:proofErr w:type="spellStart"/>
            <w:ins w:id="110" w:author="Kevin Wang (QMC)" w:date="2022-08-05T13:11:00Z">
              <w:r>
                <w:t>F</w:t>
              </w:r>
              <w:r>
                <w:rPr>
                  <w:vertAlign w:val="subscript"/>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
          <w:p>
            <w:pPr>
              <w:pStyle w:val="TAC"/>
              <w:rPr>
                <w:ins w:id="111" w:author="Kevin Wang (QMC)" w:date="2022-08-05T13:11:00Z"/>
              </w:rPr>
            </w:pPr>
            <w:ins w:id="112" w:author="Kevin Wang (QMC)" w:date="2022-08-05T13:11:00Z">
              <w:r>
                <w:t>-50</w:t>
              </w:r>
            </w:ins>
          </w:p>
        </w:tc>
        <w:tc>
          <w:tcPr>
            <w:tcW w:w="850" w:type="dxa"/>
            <w:tcBorders>
              <w:top w:val="single" w:sz="6" w:space="0" w:color="auto"/>
              <w:left w:val="single" w:sz="6" w:space="0" w:color="auto"/>
              <w:bottom w:val="single" w:sz="6" w:space="0" w:color="auto"/>
              <w:right w:val="single" w:sz="6" w:space="0" w:color="auto"/>
            </w:tcBorders>
            <w:noWrap/>
          </w:tcPr>
          <w:p>
            <w:pPr>
              <w:pStyle w:val="TAC"/>
              <w:rPr>
                <w:ins w:id="113" w:author="Kevin Wang (QMC)" w:date="2022-08-05T13:11:00Z"/>
              </w:rPr>
            </w:pPr>
            <w:ins w:id="114" w:author="Kevin Wang (QMC)" w:date="2022-08-05T13:11:00Z">
              <w:r>
                <w:t>1</w:t>
              </w:r>
            </w:ins>
          </w:p>
        </w:tc>
        <w:tc>
          <w:tcPr>
            <w:tcW w:w="928" w:type="dxa"/>
            <w:tcBorders>
              <w:top w:val="single" w:sz="6" w:space="0" w:color="auto"/>
              <w:left w:val="single" w:sz="6" w:space="0" w:color="auto"/>
              <w:bottom w:val="single" w:sz="6" w:space="0" w:color="auto"/>
              <w:right w:val="single" w:sz="4" w:space="0" w:color="auto"/>
            </w:tcBorders>
            <w:noWrap/>
          </w:tcPr>
          <w:p>
            <w:pPr>
              <w:pStyle w:val="TAC"/>
              <w:rPr>
                <w:ins w:id="115" w:author="Kevin Wang (QMC)" w:date="2022-08-05T13:11:00Z"/>
              </w:rPr>
            </w:pPr>
            <w:ins w:id="116" w:author="Kevin Wang (QMC)" w:date="2022-08-05T13:11:00Z">
              <w:r>
                <w:t>2</w:t>
              </w:r>
            </w:ins>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 7, 22, 41, 42, 43, 52,</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n12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48, 51, 66</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pPr>
              <w:pStyle w:val="TAL"/>
              <w:rPr>
                <w:lang w:eastAsia="zh-CN"/>
              </w:rPr>
            </w:pPr>
            <w:r>
              <w:t>E-UTRA Band 1, 3, 11, 21, 34, 40, 42, 65</w:t>
            </w:r>
          </w:p>
          <w:p>
            <w:pPr>
              <w:pStyle w:val="TAL"/>
            </w:pPr>
            <w:r>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rPr>
                <w:rFonts w:eastAsia="Yu Mincho"/>
              </w:rP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799</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860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945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960</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38, 42, 69</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43,</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4, 22, 32, 42, 43, 50, 51, 65, 66,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3, 5, 7, 8, 18, 19, 20, 25, 26, 27, 31, 34, 38, 39, 40, 41, 52, 72, 73</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2, 4, 5, 7, 12, 13, 14, 17, 24, 25, 26, 27, 29, 30, 38, 41, 48, 53, 66, 70, 71, 85, </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7, 8, 11, 18, 19, 20, 21, 22, 26, 28, 31, 32, 33, 38,39, 40, 41, 42, 43, 44, 45, 50, 51, 52, 65, 67, 69, 72,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1, 8, 22, 26, </w:t>
            </w:r>
            <w:r>
              <w:rPr>
                <w:lang w:eastAsia="zh-CN"/>
              </w:rPr>
              <w:t xml:space="preserve">28, </w:t>
            </w:r>
            <w:r>
              <w:t>34, 40, 41, 42, 44, 45, 50, 51, 52, 74</w:t>
            </w:r>
          </w:p>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22, 26, 27, 28, 31, 32, 33, 34, 38, 39, 41, 42, 43, 44, 45, 50, 51, 52, 65, 67, 68, 69, 72, 74, 75, 76</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8, 12, 13, 14, 17, 24, 25, 26, 27, 28, 29, 30, 34, 39, 42, 44, 45, 48, 50, 51, 52, 65, 66, 70, 71, 73, 74, 85,</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proofErr w:type="spellStart"/>
            <w:r>
              <w:t>FDL_low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lastRenderedPageBreak/>
              <w:t>n53</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 5, 7, 8, 11, 18, 19, 20, 21, 22, 26, 27, 28, 31, 32, 38, 40, 41, 42, 43, 50, 51, 65, 68, 69, 72, 74, 75, 76,</w:t>
            </w:r>
          </w:p>
          <w:p>
            <w:pPr>
              <w:pStyle w:val="TAL"/>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t>n66, n86</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42, 48 </w:t>
            </w:r>
          </w:p>
          <w:p>
            <w:pPr>
              <w:pStyle w:val="TAL"/>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2, 25, 41, 70 </w:t>
            </w:r>
          </w:p>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L"/>
            </w:pPr>
            <w:r>
              <w:t xml:space="preserve">E-UTRA Band 1, 2, 3, 4, 5, 7, 8, 12, 13, 17, 18, 19, 20, 26, 28, 29, 31, 34, 38, 39, 40, 41, 42, 43, 48, 52, 65, 66, 67, 68, 85 </w:t>
            </w:r>
          </w:p>
          <w:p>
            <w:pPr>
              <w:pStyle w:val="TAL"/>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proofErr w:type="spellStart"/>
            <w:r>
              <w:t>F</w:t>
            </w:r>
            <w:r>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L"/>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proofErr w:type="spellStart"/>
            <w:r>
              <w:t>F</w:t>
            </w:r>
            <w:r>
              <w:rPr>
                <w:vertAlign w:val="subscript"/>
              </w:rPr>
              <w:t>DL_low</w:t>
            </w:r>
            <w:proofErr w:type="spellEnd"/>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proofErr w:type="spellStart"/>
            <w:r>
              <w:t>F</w:t>
            </w:r>
            <w:r>
              <w:rPr>
                <w:vertAlign w:val="subscript"/>
              </w:rPr>
              <w:t>DL_high</w:t>
            </w:r>
            <w:proofErr w:type="spellEnd"/>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right w:val="single" w:sz="6" w:space="0" w:color="auto"/>
            </w:tcBorders>
          </w:tcPr>
          <w:p>
            <w:pPr>
              <w:pStyle w:val="TAL"/>
            </w:pPr>
            <w:r>
              <w:t>E-UTRA Band 1, 3, 5, 7, 8, 11, 18, 19, 20, 21, 26, 28, 34, 39, 40, 41, 65, 75, 76</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L"/>
            </w:pPr>
            <w:r>
              <w:t xml:space="preserve">E-UTRA Band 1, 3, 5, </w:t>
            </w:r>
            <w:ins w:id="117" w:author="Kevin Wang (QMC)" w:date="2022-08-05T13:11:00Z">
              <w:r>
                <w:t xml:space="preserve">7, </w:t>
              </w:r>
            </w:ins>
            <w:r>
              <w:t>8, 11, 18, 19, 21, 28, 34, 39, 40, 41, 42, 65, 74</w:t>
            </w:r>
          </w:p>
        </w:tc>
        <w:tc>
          <w:tcPr>
            <w:tcW w:w="964" w:type="dxa"/>
            <w:tcBorders>
              <w:top w:val="single" w:sz="6" w:space="0" w:color="auto"/>
              <w:left w:val="single" w:sz="6" w:space="0" w:color="auto"/>
              <w:right w:val="single" w:sz="6" w:space="0" w:color="auto"/>
            </w:tcBorders>
          </w:tcPr>
          <w:p>
            <w:pPr>
              <w:pStyle w:val="TAC"/>
            </w:pPr>
            <w:proofErr w:type="spellStart"/>
            <w:r>
              <w:t>F</w:t>
            </w:r>
            <w:r>
              <w:rPr>
                <w:vertAlign w:val="subscript"/>
              </w:rPr>
              <w:t>DL_low</w:t>
            </w:r>
            <w:proofErr w:type="spellEnd"/>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proofErr w:type="spellStart"/>
            <w:r>
              <w:rPr>
                <w:rStyle w:val="TALCar"/>
                <w:rFonts w:cs="Arial"/>
                <w:szCs w:val="18"/>
              </w:rPr>
              <w:t>F</w:t>
            </w:r>
            <w:r>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w:t>
            </w:r>
            <w:r>
              <w:rPr>
                <w:lang w:eastAsia="zh-CN"/>
              </w:rPr>
              <w:t>, 5</w:t>
            </w:r>
            <w:r>
              <w:t>, 8, 28, 39, 40, 41</w:t>
            </w:r>
          </w:p>
          <w:p>
            <w:pPr>
              <w:pStyle w:val="TAL"/>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rPr>
                <w:rStyle w:val="TALCar"/>
              </w:rPr>
              <w:t>F</w:t>
            </w:r>
            <w:r>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t>F</w:t>
            </w:r>
            <w:r>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proofErr w:type="spellStart"/>
            <w:r>
              <w:rPr>
                <w:rStyle w:val="TALCar"/>
              </w:rPr>
              <w:t>F</w:t>
            </w:r>
            <w:r>
              <w:rPr>
                <w:rStyle w:val="TALCar"/>
                <w:vertAlign w:val="subscript"/>
              </w:rPr>
              <w:t>DL_hi</w:t>
            </w:r>
            <w:r>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for NR band, Table 5.2-1 in TS 36.521-1 [21] for E-UTRA band.</w:t>
            </w:r>
          </w:p>
          <w:p>
            <w:pPr>
              <w:pStyle w:val="TAN"/>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 xml:space="preserve">CRB </w:t>
            </w:r>
            <w:r>
              <w:t xml:space="preserve">x </w:t>
            </w:r>
            <w:proofErr w:type="spellStart"/>
            <w:r>
              <w:t>RB</w:t>
            </w:r>
            <w:r>
              <w:rPr>
                <w:vertAlign w:val="subscript"/>
              </w:rPr>
              <w:t>Size</w:t>
            </w:r>
            <w:proofErr w:type="spellEnd"/>
            <w:r>
              <w:rPr>
                <w:vertAlign w:val="subscript"/>
              </w:rPr>
              <w:t xml:space="preserve"> </w:t>
            </w:r>
            <w:r>
              <w:t xml:space="preserve">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 xml:space="preserve">Applicable when the assigned NR carrier is confined within 718 MHz and 748 MHz and when the channel bandwidth used is 5 or 10 </w:t>
            </w:r>
            <w:proofErr w:type="spellStart"/>
            <w:r>
              <w:t>MHz.</w:t>
            </w:r>
            <w:proofErr w:type="spellEnd"/>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t>MHz.</w:t>
            </w:r>
            <w:proofErr w:type="spellEnd"/>
            <w:r>
              <w:t xml:space="preserve"> </w:t>
            </w:r>
          </w:p>
          <w:p>
            <w:pPr>
              <w:pStyle w:val="TAN"/>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rPr>
                <w:vertAlign w:val="subscript"/>
              </w:rPr>
              <w:t xml:space="preserve">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pPr>
            <w:r>
              <w:t>NOTE 43:</w:t>
            </w:r>
            <w:r>
              <w:tab/>
              <w:t xml:space="preserve">This requirement is applicable for NR channel bandwidth allocated within 1920-1980 </w:t>
            </w:r>
            <w:proofErr w:type="spellStart"/>
            <w:r>
              <w:t>MHz.</w:t>
            </w:r>
            <w:proofErr w:type="spellEnd"/>
          </w:p>
          <w:p>
            <w:pPr>
              <w:pStyle w:val="TAN"/>
            </w:pPr>
            <w:r>
              <w:t>NOTE 44:</w:t>
            </w:r>
            <w:r>
              <w:tab/>
              <w:t>As exceptions, for 90 and 100 MHz channel bandwidth, -40 dBm/MHz is applicable in the frequency range of 2496 – 2505 MHz</w:t>
            </w:r>
          </w:p>
          <w:p>
            <w:pPr>
              <w:pStyle w:val="TAN"/>
            </w:pPr>
            <w:r>
              <w:t>NOTE 45:</w:t>
            </w:r>
            <w:r>
              <w:tab/>
              <w:t>Applicable when upper edge of the assigned NR UL channel bandwidth frequency is equal to or less than 1460MHz.</w:t>
            </w:r>
          </w:p>
          <w:p>
            <w:pPr>
              <w:pStyle w:val="TAN"/>
            </w:pPr>
            <w:r>
              <w:t>NOTE 46:</w:t>
            </w:r>
            <w:r>
              <w:tab/>
              <w:t xml:space="preserve">Applicable for 5MHz bandwidth and when the NR carrier is within 1447.9 – 1462.9 </w:t>
            </w:r>
            <w:proofErr w:type="spellStart"/>
            <w:r>
              <w:t>MHz.</w:t>
            </w:r>
            <w:proofErr w:type="spellEnd"/>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pPr>
            <w:r>
              <w:lastRenderedPageBreak/>
              <w:t>NR Band</w:t>
            </w:r>
          </w:p>
        </w:tc>
        <w:tc>
          <w:tcPr>
            <w:tcW w:w="7981" w:type="dxa"/>
            <w:gridSpan w:val="7"/>
            <w:hideMark/>
          </w:tcPr>
          <w:p>
            <w:pPr>
              <w:pStyle w:val="TAH"/>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pPr>
          </w:p>
        </w:tc>
        <w:tc>
          <w:tcPr>
            <w:tcW w:w="2831" w:type="dxa"/>
            <w:hideMark/>
          </w:tcPr>
          <w:p>
            <w:pPr>
              <w:pStyle w:val="TAH"/>
            </w:pPr>
            <w:r>
              <w:t>Protected band</w:t>
            </w:r>
          </w:p>
        </w:tc>
        <w:tc>
          <w:tcPr>
            <w:tcW w:w="2239" w:type="dxa"/>
            <w:gridSpan w:val="3"/>
            <w:hideMark/>
          </w:tcPr>
          <w:p>
            <w:pPr>
              <w:pStyle w:val="TAH"/>
            </w:pPr>
            <w:r>
              <w:t>Frequency range (MHz)</w:t>
            </w:r>
          </w:p>
        </w:tc>
        <w:tc>
          <w:tcPr>
            <w:tcW w:w="1133" w:type="dxa"/>
            <w:hideMark/>
          </w:tcPr>
          <w:p>
            <w:pPr>
              <w:pStyle w:val="TAH"/>
            </w:pPr>
            <w:r>
              <w:t>Maximum Level (dBm)</w:t>
            </w:r>
          </w:p>
        </w:tc>
        <w:tc>
          <w:tcPr>
            <w:tcW w:w="850" w:type="dxa"/>
            <w:hideMark/>
          </w:tcPr>
          <w:p>
            <w:pPr>
              <w:pStyle w:val="TAH"/>
            </w:pPr>
            <w:r>
              <w:t>MBW (MHz)</w:t>
            </w:r>
          </w:p>
        </w:tc>
        <w:tc>
          <w:tcPr>
            <w:tcW w:w="928" w:type="dxa"/>
            <w:noWrap/>
            <w:hideMark/>
          </w:tcPr>
          <w:p>
            <w:pPr>
              <w:pStyle w:val="TAH"/>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pPr>
            <w:r>
              <w:t>E-UTRA Band 1, 5, 7, 8, 11, 18, 19, 20, 21, 22, 26, 27, 28, 31, 32, 38, 40, 41, 42, 43, 44, 45, 50, 51, 52, 65, 67, 68, 69, 72, 73, 74, 75, 76,</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pPr>
            <w:r>
              <w:t>E-UTRA Band 1, 5, 7, 8, 20, 26, 27, 28, 31, 32, 33, 34, 38, 39, 40, 41, 43, 44, 45, 50, 51, 65, 67, 68, 69, 72, 73,74, 75, 76.</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22, 42, 52,</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pPr>
            <w:r>
              <w:t>E-UTRA Band 1, 2, 3, 4, 5, 7, 8, 12, 13, 14, 17, 18, 19, 24, 25, 26, 28, 29, 30, 31, 34, 38, 40, 42, 43, 45, 48, 50, 51, 65, 66, 70, 71, 73, 74, 85</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41, 52, 53</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pPr>
            <w:r>
              <w:t>E-UTRA Band 1, 2, 3, 4, 5, 7, 8,  12, 13, 14, 17, 20, 22, 26, 27, 28, 29, 30, 31, 32, 33, 34, 40, 42, 43, 50, 51, 52, 65, 66, 67, 68, 72, 74, 75, 76, 85,</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ins w:id="118" w:author="Kevin Wang (QMC)" w:date="2022-08-05T13:12:00Z"/>
        </w:trPr>
        <w:tc>
          <w:tcPr>
            <w:tcW w:w="959" w:type="dxa"/>
            <w:tcBorders>
              <w:top w:val="nil"/>
              <w:bottom w:val="nil"/>
            </w:tcBorders>
            <w:shd w:val="clear" w:color="auto" w:fill="auto"/>
          </w:tcPr>
          <w:p>
            <w:pPr>
              <w:pStyle w:val="TAC"/>
              <w:rPr>
                <w:ins w:id="119" w:author="Kevin Wang (QMC)" w:date="2022-08-05T13:12:00Z"/>
              </w:rPr>
            </w:pPr>
          </w:p>
        </w:tc>
        <w:tc>
          <w:tcPr>
            <w:tcW w:w="2831" w:type="dxa"/>
          </w:tcPr>
          <w:p>
            <w:pPr>
              <w:pStyle w:val="TAL"/>
              <w:rPr>
                <w:ins w:id="120" w:author="Kevin Wang (QMC)" w:date="2022-08-05T13:12:00Z"/>
              </w:rPr>
            </w:pPr>
            <w:ins w:id="121" w:author="Kevin Wang (QMC)" w:date="2022-08-05T13:12:00Z">
              <w:r>
                <w:rPr>
                  <w:lang w:val="sv-FI"/>
                </w:rPr>
                <w:t>NR Band n79</w:t>
              </w:r>
            </w:ins>
          </w:p>
        </w:tc>
        <w:tc>
          <w:tcPr>
            <w:tcW w:w="810" w:type="dxa"/>
          </w:tcPr>
          <w:p>
            <w:pPr>
              <w:pStyle w:val="TAC"/>
              <w:rPr>
                <w:ins w:id="122" w:author="Kevin Wang (QMC)" w:date="2022-08-05T13:12:00Z"/>
              </w:rPr>
            </w:pPr>
            <w:proofErr w:type="spellStart"/>
            <w:ins w:id="123" w:author="Kevin Wang (QMC)" w:date="2022-08-05T13:12:00Z">
              <w:r>
                <w:t>F</w:t>
              </w:r>
              <w:r>
                <w:rPr>
                  <w:vertAlign w:val="subscript"/>
                </w:rPr>
                <w:t>DL_low</w:t>
              </w:r>
              <w:proofErr w:type="spellEnd"/>
            </w:ins>
          </w:p>
        </w:tc>
        <w:tc>
          <w:tcPr>
            <w:tcW w:w="540" w:type="dxa"/>
          </w:tcPr>
          <w:p>
            <w:pPr>
              <w:pStyle w:val="TAC"/>
              <w:rPr>
                <w:ins w:id="124" w:author="Kevin Wang (QMC)" w:date="2022-08-05T13:12:00Z"/>
              </w:rPr>
            </w:pPr>
            <w:ins w:id="125" w:author="Kevin Wang (QMC)" w:date="2022-08-05T13:12:00Z">
              <w:r>
                <w:t>-</w:t>
              </w:r>
            </w:ins>
          </w:p>
        </w:tc>
        <w:tc>
          <w:tcPr>
            <w:tcW w:w="889" w:type="dxa"/>
          </w:tcPr>
          <w:p>
            <w:pPr>
              <w:pStyle w:val="TAC"/>
              <w:rPr>
                <w:ins w:id="126" w:author="Kevin Wang (QMC)" w:date="2022-08-05T13:12:00Z"/>
              </w:rPr>
            </w:pPr>
            <w:proofErr w:type="spellStart"/>
            <w:ins w:id="127" w:author="Kevin Wang (QMC)" w:date="2022-08-05T13:12:00Z">
              <w:r>
                <w:t>F</w:t>
              </w:r>
              <w:r>
                <w:rPr>
                  <w:vertAlign w:val="subscript"/>
                </w:rPr>
                <w:t>DL_high</w:t>
              </w:r>
              <w:proofErr w:type="spellEnd"/>
            </w:ins>
          </w:p>
        </w:tc>
        <w:tc>
          <w:tcPr>
            <w:tcW w:w="1133" w:type="dxa"/>
          </w:tcPr>
          <w:p>
            <w:pPr>
              <w:pStyle w:val="TAC"/>
              <w:rPr>
                <w:ins w:id="128" w:author="Kevin Wang (QMC)" w:date="2022-08-05T13:12:00Z"/>
              </w:rPr>
            </w:pPr>
            <w:ins w:id="129" w:author="Kevin Wang (QMC)" w:date="2022-08-05T13:12:00Z">
              <w:r>
                <w:t>-50</w:t>
              </w:r>
            </w:ins>
          </w:p>
        </w:tc>
        <w:tc>
          <w:tcPr>
            <w:tcW w:w="850" w:type="dxa"/>
            <w:noWrap/>
          </w:tcPr>
          <w:p>
            <w:pPr>
              <w:pStyle w:val="TAC"/>
              <w:rPr>
                <w:ins w:id="130" w:author="Kevin Wang (QMC)" w:date="2022-08-05T13:12:00Z"/>
              </w:rPr>
            </w:pPr>
            <w:ins w:id="131" w:author="Kevin Wang (QMC)" w:date="2022-08-05T13:12:00Z">
              <w:r>
                <w:t>1</w:t>
              </w:r>
            </w:ins>
          </w:p>
        </w:tc>
        <w:tc>
          <w:tcPr>
            <w:tcW w:w="928" w:type="dxa"/>
            <w:noWrap/>
          </w:tcPr>
          <w:p>
            <w:pPr>
              <w:pStyle w:val="TAC"/>
              <w:rPr>
                <w:ins w:id="132" w:author="Kevin Wang (QMC)" w:date="2022-08-05T13:12:00Z"/>
              </w:rPr>
            </w:pPr>
            <w:ins w:id="133" w:author="Kevin Wang (QMC)" w:date="2022-08-05T13:12:00Z">
              <w:r>
                <w:t>2</w:t>
              </w:r>
            </w:ins>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 7, 22, 41, 42, 43, 52,</w:t>
            </w:r>
          </w:p>
          <w:p>
            <w:pPr>
              <w:pStyle w:val="TAL"/>
            </w:pPr>
            <w:r>
              <w:t>NR Band n77,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n12</w:t>
            </w:r>
          </w:p>
        </w:tc>
        <w:tc>
          <w:tcPr>
            <w:tcW w:w="2831" w:type="dxa"/>
          </w:tcPr>
          <w:p>
            <w:pPr>
              <w:pStyle w:val="TAL"/>
            </w:pPr>
            <w:r>
              <w:t>E-UTRA Band 2, 5, 13, 14, 17, 24, 25, 26, 27, 30, 41, 50, 53, 70, 71, 74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 48, 51, 66</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lang w:eastAsia="zh-CN"/>
              </w:rPr>
              <w:t>n13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24, 30</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proofErr w:type="spellStart"/>
            <w:r>
              <w:t>FD</w:t>
            </w:r>
            <w:r>
              <w:rPr>
                <w:vertAlign w:val="subscript"/>
              </w:rPr>
              <w:t>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FD</w:t>
            </w:r>
            <w:r>
              <w:rPr>
                <w:vertAlign w:val="subscript"/>
              </w:rPr>
              <w:t>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rPr>
              <w:t>n18</w:t>
            </w:r>
          </w:p>
        </w:tc>
        <w:tc>
          <w:tcPr>
            <w:tcW w:w="2831" w:type="dxa"/>
          </w:tcPr>
          <w:p>
            <w:pPr>
              <w:pStyle w:val="TAL"/>
              <w:rPr>
                <w:lang w:eastAsia="zh-CN"/>
              </w:rPr>
            </w:pPr>
            <w:r>
              <w:t>E-UTRA Band 1, 3, 11, 21, 34, 40, 42, 65</w:t>
            </w:r>
          </w:p>
          <w:p>
            <w:pPr>
              <w:pStyle w:val="TAL"/>
            </w:pPr>
            <w:r>
              <w:rPr>
                <w:lang w:eastAsia="zh-CN"/>
              </w:rP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860</w:t>
            </w:r>
          </w:p>
        </w:tc>
        <w:tc>
          <w:tcPr>
            <w:tcW w:w="540" w:type="dxa"/>
          </w:tcPr>
          <w:p>
            <w:pPr>
              <w:pStyle w:val="TAC"/>
            </w:pPr>
            <w:r>
              <w:t>-</w:t>
            </w:r>
          </w:p>
        </w:tc>
        <w:tc>
          <w:tcPr>
            <w:tcW w:w="889" w:type="dxa"/>
          </w:tcPr>
          <w:p>
            <w:pPr>
              <w:pStyle w:val="TAC"/>
            </w:pPr>
            <w:r>
              <w:t>890</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2545</w:t>
            </w:r>
          </w:p>
        </w:tc>
        <w:tc>
          <w:tcPr>
            <w:tcW w:w="540" w:type="dxa"/>
          </w:tcPr>
          <w:p>
            <w:pPr>
              <w:pStyle w:val="TAC"/>
            </w:pPr>
            <w:r>
              <w:t>-</w:t>
            </w:r>
          </w:p>
        </w:tc>
        <w:tc>
          <w:tcPr>
            <w:tcW w:w="889" w:type="dxa"/>
          </w:tcPr>
          <w:p>
            <w:pPr>
              <w:pStyle w:val="TAC"/>
            </w:pPr>
            <w:r>
              <w:t>2575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38, 42, 52, 69,</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proofErr w:type="spellStart"/>
            <w:r>
              <w:t>F</w:t>
            </w:r>
            <w:r>
              <w:rPr>
                <w:vertAlign w:val="subscript"/>
              </w:rPr>
              <w:t>DL_low</w:t>
            </w:r>
            <w:proofErr w:type="spellEnd"/>
            <w:r>
              <w:t xml:space="preserve"> </w:t>
            </w:r>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E-UTRA Band 1, 2, 3, 4, 5,  11, 12, 13, 14, 17, 18,19, 21, 24, 25, 26, 29, 30, 31, 34, 39, 40, 42, 43, 48, 50, 51, 65, 66, 70, 71, 73,74,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41, 53</w:t>
            </w:r>
          </w:p>
          <w:p>
            <w:pPr>
              <w:pStyle w:val="TAL"/>
            </w:pPr>
            <w:r>
              <w:t>NR Band n77,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pPr>
            <w:r>
              <w:t>E-UTRA Band 1, 4,  22, 32, 42, 43, 50, 51, 65, 66, 74, 75, 76,</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3, 5, 7, 8, 18, 19, 20, 25, 26, 27, 31, 34, 38, 39, 40, 41, 52, 72, 73</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eastAsia="zh-CN"/>
              </w:rPr>
            </w:pPr>
            <w:r>
              <w:t>E-UTRA Band 2, 4, 5, 7,  12, 13, 14, 17, 24, 25, 26, 27, 29, 30, 38, 41, 48, 53, 66, 70</w:t>
            </w:r>
            <w:r>
              <w:rPr>
                <w:lang w:eastAsia="zh-CN"/>
              </w:rPr>
              <w:t>, 71, 85,</w:t>
            </w:r>
          </w:p>
          <w:p>
            <w:pPr>
              <w:pStyle w:val="TAL"/>
            </w:pPr>
            <w:r>
              <w:rPr>
                <w:lang w:eastAsia="zh-CN"/>
              </w:rP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pPr>
            <w:r>
              <w:t>E-UTRA Band 1, 3, 7, 8, 11, 18, 19, 20, 21, 22, 26, 28, 31, 32, 33, 38,39, 40, 41, 42, 43, 44, 45, 50, 51, 52, 65, 67, 69, 72, 74, 75, 76,</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rPr>
                <w:rStyle w:val="TALCar"/>
                <w:rFonts w:eastAsia="Malgun Gothic"/>
              </w:rPr>
              <w:t>F</w:t>
            </w:r>
            <w:r>
              <w:rPr>
                <w:rStyle w:val="TALCar"/>
                <w:rFonts w:eastAsia="Malgun Gothic"/>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 n78, n79</w:t>
            </w:r>
          </w:p>
        </w:tc>
        <w:tc>
          <w:tcPr>
            <w:tcW w:w="810" w:type="dxa"/>
          </w:tcPr>
          <w:p>
            <w:pPr>
              <w:pStyle w:val="TAC"/>
            </w:pPr>
            <w:proofErr w:type="spellStart"/>
            <w:r>
              <w:t>FDL_low</w:t>
            </w:r>
            <w:proofErr w:type="spellEnd"/>
          </w:p>
        </w:tc>
        <w:tc>
          <w:tcPr>
            <w:tcW w:w="540" w:type="dxa"/>
          </w:tcPr>
          <w:p>
            <w:pPr>
              <w:pStyle w:val="TAC"/>
            </w:pPr>
            <w:r>
              <w:t>-</w:t>
            </w:r>
          </w:p>
        </w:tc>
        <w:tc>
          <w:tcPr>
            <w:tcW w:w="889" w:type="dxa"/>
          </w:tcPr>
          <w:p>
            <w:pPr>
              <w:pStyle w:val="TAC"/>
            </w:pPr>
            <w:proofErr w:type="spellStart"/>
            <w:r>
              <w:t>FDL_high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lang w:eastAsia="zh-CN"/>
              </w:rPr>
              <w:t>, n98</w:t>
            </w:r>
          </w:p>
        </w:tc>
        <w:tc>
          <w:tcPr>
            <w:tcW w:w="2831" w:type="dxa"/>
          </w:tcPr>
          <w:p>
            <w:pPr>
              <w:pStyle w:val="TAL"/>
            </w:pPr>
            <w:r>
              <w:t>E-UTRA Band 1, 8, 22, 26, 28, 34, 40, 41, 42, 44, 45, 50, 51, 52, 74,</w:t>
            </w:r>
          </w:p>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lang w:eastAsia="zh-CN"/>
              </w:rPr>
              <w:t>, n97</w:t>
            </w:r>
          </w:p>
        </w:tc>
        <w:tc>
          <w:tcPr>
            <w:tcW w:w="2831" w:type="dxa"/>
          </w:tcPr>
          <w:p>
            <w:pPr>
              <w:pStyle w:val="TAL"/>
            </w:pPr>
            <w:r>
              <w:t>E-UTRA Band 1, 3, 5, 7, 8, 11, 18, 19, 20, 21, 22, 26, 27, 28, 31, 32, 33, 34, 38, 39, 41, 42, 43, 44, 45, 50, 51, 52, 65, 67, 68, 69, 72, 74, 75, 76,</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rPr>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lastRenderedPageBreak/>
              <w:t>n41</w:t>
            </w:r>
          </w:p>
        </w:tc>
        <w:tc>
          <w:tcPr>
            <w:tcW w:w="2831" w:type="dxa"/>
          </w:tcPr>
          <w:p>
            <w:pPr>
              <w:pStyle w:val="TAL"/>
            </w:pPr>
            <w:r>
              <w:t>E-UTRA Band 1, 2, 3, 4, 5, 8,  12, 13, 14, 17, 24, 25, 26, 27, 28, 29, 30, 34, 39, 42, 44, 45, 48, 50, 51, 52, 65, 66, 70, 71, 73, 74, 85,</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lang w:eastAsia="zh-CN"/>
              </w:rPr>
              <w:t xml:space="preserve"> 40</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rPr>
                <w:lang w:eastAsia="zh-CN"/>
              </w:rPr>
              <w:t>-40</w:t>
            </w:r>
          </w:p>
        </w:tc>
        <w:tc>
          <w:tcPr>
            <w:tcW w:w="850" w:type="dxa"/>
            <w:noWrap/>
          </w:tcPr>
          <w:p>
            <w:pPr>
              <w:pStyle w:val="TAC"/>
            </w:pPr>
            <w:r>
              <w:rPr>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t>E-UTRA Band 1, 3, 5, 7, 8, 22, 26, 28, 34, 39, 40, 41, 42, 44, 45, 65, 68, 72, 73</w:t>
            </w:r>
          </w:p>
        </w:tc>
        <w:tc>
          <w:tcPr>
            <w:tcW w:w="810" w:type="dxa"/>
          </w:tcPr>
          <w:p>
            <w:pPr>
              <w:pStyle w:val="TAC"/>
            </w:pPr>
            <w:proofErr w:type="spellStart"/>
            <w:r>
              <w:t>FDL_low</w:t>
            </w:r>
            <w:proofErr w:type="spellEnd"/>
          </w:p>
        </w:tc>
        <w:tc>
          <w:tcPr>
            <w:tcW w:w="540" w:type="dxa"/>
          </w:tcPr>
          <w:p>
            <w:pPr>
              <w:pStyle w:val="TAC"/>
            </w:pPr>
            <w:r>
              <w:t>-</w:t>
            </w:r>
          </w:p>
        </w:tc>
        <w:tc>
          <w:tcPr>
            <w:tcW w:w="889" w:type="dxa"/>
          </w:tcPr>
          <w:p>
            <w:pPr>
              <w:pStyle w:val="TAC"/>
            </w:pPr>
            <w:proofErr w:type="spellStart"/>
            <w:r>
              <w:t>FDL_high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t>NR Band n71, n77, n78, n79</w:t>
            </w:r>
          </w:p>
        </w:tc>
        <w:tc>
          <w:tcPr>
            <w:tcW w:w="810" w:type="dxa"/>
          </w:tcPr>
          <w:p>
            <w:pPr>
              <w:pStyle w:val="TAC"/>
            </w:pPr>
            <w:proofErr w:type="spellStart"/>
            <w:r>
              <w:t>FDL_low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lang w:eastAsia="zh-CN"/>
              </w:rPr>
            </w:pPr>
            <w:r>
              <w:t>E-UTRA Band 2, 4, 5, 12, 13, 14, 17, 24, 25, 26, 29, 30, 48, 66, 70</w:t>
            </w:r>
            <w:r>
              <w:rPr>
                <w:lang w:eastAsia="zh-CN"/>
              </w:rPr>
              <w:t>, 71</w:t>
            </w:r>
            <w:r>
              <w:t>,</w:t>
            </w:r>
            <w:r>
              <w:rPr>
                <w:lang w:eastAsia="zh-CN"/>
              </w:rPr>
              <w:t xml:space="preserve"> 85,</w:t>
            </w:r>
          </w:p>
          <w:p>
            <w:pPr>
              <w:pStyle w:val="TAL"/>
              <w:rPr>
                <w:lang w:eastAsia="zh-CN"/>
              </w:rPr>
            </w:pPr>
            <w:r>
              <w:rPr>
                <w:lang w:eastAsia="zh-CN"/>
              </w:rP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pPr>
            <w:r>
              <w:t>E-UTRA Band 1, 3, 5, 7, 8, 11, 18, 19, 20, 21, 22, 26, 27, 28, 31, 32, 38, 40, 41, 42, 43, 50, 51, 65, 68, 69, 72, 74, 75, 76,</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42, 48,</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n47,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 41, 70,</w:t>
            </w:r>
          </w:p>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Fonts w:eastAsia="Malgun Gothic"/>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lastRenderedPageBreak/>
              <w:t>n74</w:t>
            </w:r>
          </w:p>
        </w:tc>
        <w:tc>
          <w:tcPr>
            <w:tcW w:w="2831" w:type="dxa"/>
          </w:tcPr>
          <w:p>
            <w:pPr>
              <w:pStyle w:val="TAL"/>
            </w:pPr>
            <w:r>
              <w:t>E-UTRA Band 1, 2, 3, 4, 5, 7, 8, 12, 13, 17, 18, 19, 20, 26, 28, 29, 31, 34, 38, 39, 40, 41, 42, 43, 48, 52, 65, 66, 67, 68, 85</w:t>
            </w:r>
          </w:p>
          <w:p>
            <w:pPr>
              <w:pStyle w:val="TAL"/>
            </w:pPr>
            <w:r>
              <w:t>NR Band n77, n78, 103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-28</w:t>
            </w:r>
          </w:p>
        </w:tc>
        <w:tc>
          <w:tcPr>
            <w:tcW w:w="850" w:type="dxa"/>
            <w:noWrap/>
          </w:tcPr>
          <w:p>
            <w:pPr>
              <w:pStyle w:val="TAC"/>
            </w:pPr>
            <w:r>
              <w:t>1</w:t>
            </w:r>
          </w:p>
        </w:tc>
        <w:tc>
          <w:tcPr>
            <w:tcW w:w="928" w:type="dxa"/>
            <w:noWrap/>
          </w:tcPr>
          <w:p>
            <w:pPr>
              <w:pStyle w:val="TAC"/>
            </w:pPr>
            <w:r>
              <w:t>15, 42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15, 45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1475.9</w:t>
            </w:r>
          </w:p>
        </w:tc>
        <w:tc>
          <w:tcPr>
            <w:tcW w:w="540" w:type="dxa"/>
          </w:tcPr>
          <w:p>
            <w:pPr>
              <w:pStyle w:val="TAC"/>
            </w:pPr>
            <w:r>
              <w:t>-</w:t>
            </w:r>
          </w:p>
        </w:tc>
        <w:tc>
          <w:tcPr>
            <w:tcW w:w="889" w:type="dxa"/>
          </w:tcPr>
          <w:p>
            <w:pPr>
              <w:pStyle w:val="TAC"/>
            </w:pPr>
            <w:r>
              <w:t>1510.9</w:t>
            </w:r>
          </w:p>
        </w:tc>
        <w:tc>
          <w:tcPr>
            <w:tcW w:w="1133" w:type="dxa"/>
          </w:tcPr>
          <w:p>
            <w:pPr>
              <w:pStyle w:val="TAC"/>
            </w:pPr>
            <w:r>
              <w:t>-35</w:t>
            </w:r>
          </w:p>
        </w:tc>
        <w:tc>
          <w:tcPr>
            <w:tcW w:w="850" w:type="dxa"/>
            <w:noWrap/>
          </w:tcPr>
          <w:p>
            <w:pPr>
              <w:pStyle w:val="TAC"/>
            </w:pPr>
            <w:r>
              <w:t>1</w:t>
            </w:r>
          </w:p>
        </w:tc>
        <w:tc>
          <w:tcPr>
            <w:tcW w:w="928" w:type="dxa"/>
            <w:noWrap/>
          </w:tcPr>
          <w:p>
            <w:pPr>
              <w:pStyle w:val="TAC"/>
            </w:pPr>
            <w:r>
              <w:t>15, 46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 103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 xml:space="preserve">E-UTRA Band 1, 3, 5, </w:t>
            </w:r>
            <w:ins w:id="134" w:author="Kevin Wang (QMC)" w:date="2022-08-05T13:13:00Z">
              <w:r>
                <w:t xml:space="preserve">7, </w:t>
              </w:r>
            </w:ins>
            <w:r>
              <w:t>8, 11, 18, 19, 21, 28, 34, 39, 40, 41, 42, 65, 74</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pPr>
            <w:r>
              <w:t>E-UTRA Band 2, 5, 13, 14, 17, 24, 25, 26, 27, 30, 41, 53, 70, 71, 74, 103</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pPr>
            <w:r>
              <w:t>E-UTRA Band 4, 48, 51, 66</w:t>
            </w:r>
          </w:p>
          <w:p>
            <w:pPr>
              <w:pStyle w:val="TAL"/>
            </w:pPr>
            <w: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pPr>
            <w:r>
              <w:t>E-UTRA Band 12, 85</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rPr>
                <w:rStyle w:val="TALCar"/>
              </w:rPr>
            </w:pPr>
            <w:proofErr w:type="spellStart"/>
            <w:r>
              <w:t>F</w:t>
            </w:r>
            <w:r>
              <w:rPr>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lang w:eastAsia="zh-CN"/>
              </w:rPr>
              <w:t>n95</w:t>
            </w:r>
          </w:p>
        </w:tc>
        <w:tc>
          <w:tcPr>
            <w:tcW w:w="2831" w:type="dxa"/>
          </w:tcPr>
          <w:p>
            <w:pPr>
              <w:pStyle w:val="TAL"/>
            </w:pPr>
            <w:r>
              <w:t>E-UTRA Band 1, 3</w:t>
            </w:r>
            <w:r>
              <w:rPr>
                <w:lang w:eastAsia="zh-CN"/>
              </w:rPr>
              <w:t xml:space="preserve"> , 5</w:t>
            </w:r>
            <w:r>
              <w:t>, 8, 28, 39, 40, 41,</w:t>
            </w:r>
          </w:p>
          <w:p>
            <w:pPr>
              <w:pStyle w:val="TAL"/>
            </w:pPr>
            <w:r>
              <w:t>NR Band n78, n79</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single" w:sz="4" w:space="0" w:color="auto"/>
              <w:bottom w:val="nil"/>
            </w:tcBorders>
            <w:shd w:val="clear" w:color="auto" w:fill="auto"/>
          </w:tcPr>
          <w:p>
            <w:pPr>
              <w:pStyle w:val="TAC"/>
            </w:pPr>
            <w:r>
              <w:rPr>
                <w:lang w:eastAsia="fr-FR"/>
              </w:rPr>
              <w:t>n101</w:t>
            </w:r>
          </w:p>
        </w:tc>
        <w:tc>
          <w:tcPr>
            <w:tcW w:w="2831" w:type="dxa"/>
          </w:tcPr>
          <w:p>
            <w:pPr>
              <w:pStyle w:val="TAL"/>
              <w:rPr>
                <w:lang w:eastAsia="fr-FR"/>
              </w:rPr>
            </w:pPr>
            <w:r>
              <w:rPr>
                <w:lang w:eastAsia="fr-FR"/>
              </w:rPr>
              <w:t>E-UTRA Band 1, 3, 8, 20, 22,</w:t>
            </w:r>
          </w:p>
          <w:p>
            <w:pPr>
              <w:pStyle w:val="TAL"/>
              <w:rPr>
                <w:lang w:eastAsia="fr-FR"/>
              </w:rPr>
            </w:pPr>
            <w:r>
              <w:rPr>
                <w:lang w:eastAsia="fr-FR"/>
              </w:rPr>
              <w:t>28, 31, 32, 33, 34, 38, 40, 43,</w:t>
            </w:r>
          </w:p>
          <w:p>
            <w:pPr>
              <w:pStyle w:val="TAL"/>
              <w:rPr>
                <w:lang w:eastAsia="fr-FR"/>
              </w:rPr>
            </w:pPr>
            <w:r>
              <w:rPr>
                <w:lang w:eastAsia="fr-FR"/>
              </w:rPr>
              <w:t>50, 51, 52, 65, 67, 68, 69, 72,</w:t>
            </w:r>
          </w:p>
          <w:p>
            <w:pPr>
              <w:pStyle w:val="TAL"/>
            </w:pPr>
            <w:r>
              <w:rPr>
                <w:lang w:eastAsia="fr-FR"/>
              </w:rPr>
              <w:t>74, 75, 76</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rPr>
                <w:lang w:eastAsia="fr-FR"/>
              </w:rPr>
            </w:pPr>
            <w:r>
              <w:rPr>
                <w:lang w:eastAsia="fr-FR"/>
              </w:rPr>
              <w:t>E-UTRA Band 7, 41, 42</w:t>
            </w:r>
          </w:p>
          <w:p>
            <w:pPr>
              <w:pStyle w:val="TAL"/>
            </w:pPr>
            <w:r>
              <w:rPr>
                <w:lang w:eastAsia="fr-FR"/>
              </w:rPr>
              <w:t>NR Band n77, n78</w:t>
            </w:r>
          </w:p>
        </w:tc>
        <w:tc>
          <w:tcPr>
            <w:tcW w:w="810" w:type="dxa"/>
          </w:tcPr>
          <w:p>
            <w:pPr>
              <w:pStyle w:val="TAC"/>
            </w:pPr>
            <w:proofErr w:type="spellStart"/>
            <w:r>
              <w:t>F</w:t>
            </w:r>
            <w:r>
              <w:rPr>
                <w:vertAlign w:val="subscript"/>
              </w:rPr>
              <w:t>DL_low</w:t>
            </w:r>
            <w:proofErr w:type="spellEnd"/>
          </w:p>
        </w:tc>
        <w:tc>
          <w:tcPr>
            <w:tcW w:w="540" w:type="dxa"/>
          </w:tcPr>
          <w:p>
            <w:pPr>
              <w:pStyle w:val="TAC"/>
            </w:pPr>
            <w:r>
              <w:t>-</w:t>
            </w:r>
          </w:p>
        </w:tc>
        <w:tc>
          <w:tcPr>
            <w:tcW w:w="889" w:type="dxa"/>
          </w:tcPr>
          <w:p>
            <w:pPr>
              <w:pStyle w:val="TAC"/>
            </w:pPr>
            <w:proofErr w:type="spellStart"/>
            <w:r>
              <w:rPr>
                <w:rStyle w:val="TALCar"/>
                <w:rFonts w:eastAsia="Malgun Gothic"/>
              </w:rPr>
              <w:t>F</w:t>
            </w:r>
            <w:r>
              <w:rPr>
                <w:rStyle w:val="TALCar"/>
                <w:rFonts w:eastAsia="Malgun Gothic"/>
                <w:vertAlign w:val="subscript"/>
              </w:rPr>
              <w:t>DL_hi</w:t>
            </w:r>
            <w:r>
              <w:rPr>
                <w:vertAlign w:val="subscript"/>
              </w:rPr>
              <w:t>gh</w:t>
            </w:r>
            <w:proofErr w:type="spellEnd"/>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rPr>
                <w:lang w:eastAsia="fr-FR"/>
              </w:rP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8940" w:type="dxa"/>
            <w:gridSpan w:val="8"/>
            <w:vAlign w:val="center"/>
          </w:tcPr>
          <w:p>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in TS 38.101-1 [2] or Table 5.5-1 in TS 36.101</w:t>
            </w:r>
          </w:p>
          <w:p>
            <w:pPr>
              <w:pStyle w:val="TAN"/>
            </w:pPr>
            <w:r>
              <w:t>NOTE 2:</w:t>
            </w:r>
            <w:r>
              <w:tab/>
              <w:t xml:space="preserve">As exceptions, measurements with a level up to the applicable requirements defined in Table 6.5.3.1-2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pPr>
              <w:pStyle w:val="TAN"/>
            </w:pPr>
            <w:r>
              <w:t>NOTE 3:</w:t>
            </w:r>
            <w:r>
              <w:tab/>
              <w:t xml:space="preserve">15 kHz SCS is assumed when RB is mentioned in the note when channel bandwidth is less than or equal to 50 MHz, lowest SCS is assumed when channel bandwidth is larger than 50 </w:t>
            </w:r>
            <w:proofErr w:type="spellStart"/>
            <w:r>
              <w:t>MHz.</w:t>
            </w:r>
            <w:proofErr w:type="spellEnd"/>
            <w:r>
              <w:t xml:space="preserve">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 xml:space="preserve">Applicable when co-existence with PHS system operating in 1884.5 - 1915.7 </w:t>
            </w:r>
            <w:proofErr w:type="spellStart"/>
            <w:r>
              <w:t>MHz.</w:t>
            </w:r>
            <w:proofErr w:type="spellEnd"/>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 xml:space="preserve">Applicable when the assigned NR carrier is confined within 718 MHz and 748 MHz and when the channel bandwidth used is 5 or 10 </w:t>
            </w:r>
            <w:proofErr w:type="spellStart"/>
            <w:r>
              <w:t>MHz.</w:t>
            </w:r>
            <w:proofErr w:type="spellEnd"/>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pPr>
              <w:pStyle w:val="TAN"/>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rPr>
                <w:rFonts w:eastAsia="SimSun"/>
                <w:lang w:eastAsia="zh-CN"/>
              </w:rPr>
            </w:pPr>
            <w:r>
              <w:rPr>
                <w:rFonts w:eastAsia="SimSun"/>
              </w:rPr>
              <w:t>NOTE 43:</w:t>
            </w:r>
            <w:r>
              <w:rPr>
                <w:rFonts w:eastAsia="SimSun"/>
              </w:rPr>
              <w:tab/>
              <w:t xml:space="preserve">This requirement is applicable for NR channel bandwidth allocated within 1920-1980 </w:t>
            </w:r>
            <w:proofErr w:type="spellStart"/>
            <w:r>
              <w:rPr>
                <w:rFonts w:eastAsia="SimSun"/>
              </w:rPr>
              <w:t>MHz.</w:t>
            </w:r>
            <w:proofErr w:type="spellEnd"/>
          </w:p>
          <w:p>
            <w:pPr>
              <w:pStyle w:val="TAN"/>
              <w:rPr>
                <w:rFonts w:ascii="Times New Roman" w:eastAsia="SimSun" w:hAnsi="Times New Roman"/>
                <w:sz w:val="20"/>
              </w:rPr>
            </w:pPr>
            <w:r>
              <w:t xml:space="preserve">NOTE 44: As exceptions, for 90 and 100 MHz channel bandwidth, -40 dBm/MHz is applicable in the frequency range of 2496 – 2505 </w:t>
            </w:r>
            <w:proofErr w:type="spellStart"/>
            <w:r>
              <w:t>MHz</w:t>
            </w:r>
            <w:r>
              <w:rPr>
                <w:rFonts w:ascii="Times New Roman" w:eastAsia="SimSun" w:hAnsi="Times New Roman"/>
                <w:sz w:val="20"/>
              </w:rPr>
              <w:t>.</w:t>
            </w:r>
            <w:proofErr w:type="spellEnd"/>
          </w:p>
          <w:p>
            <w:pPr>
              <w:pStyle w:val="TAN"/>
            </w:pPr>
            <w:r>
              <w:t>NOTE 45: Applicable when upper edge of the assigned NR UL channel bandwidth frequency is equal to or less than 1460MHz.</w:t>
            </w:r>
          </w:p>
          <w:p>
            <w:pPr>
              <w:pStyle w:val="TAN"/>
            </w:pPr>
            <w:r>
              <w:t xml:space="preserve">NOTE 46: Applicable for 5MHz bandwidth and when the NR carrier is within 1447.9 – 1462.9 </w:t>
            </w:r>
            <w:proofErr w:type="spellStart"/>
            <w:r>
              <w:t>MHz.</w:t>
            </w:r>
            <w:proofErr w:type="spellEnd"/>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38.101-1 [2] due to release independence defined in TS 38.307 [23].</w:t>
      </w:r>
    </w:p>
    <w:p>
      <w:pPr>
        <w:pStyle w:val="H6"/>
      </w:pPr>
      <w:bookmarkStart w:id="135" w:name="_Toc27478186"/>
      <w:bookmarkStart w:id="136" w:name="_Toc36226898"/>
      <w:bookmarkStart w:id="137" w:name="_Toc44324183"/>
      <w:bookmarkStart w:id="138" w:name="_Toc52990377"/>
      <w:bookmarkStart w:id="139" w:name="_Toc60823576"/>
      <w:bookmarkStart w:id="140" w:name="_Toc60825498"/>
      <w:r>
        <w:t>6.5.3.2.4</w:t>
      </w:r>
      <w:r>
        <w:tab/>
        <w:t>Test description</w:t>
      </w:r>
      <w:bookmarkEnd w:id="135"/>
      <w:bookmarkEnd w:id="136"/>
      <w:bookmarkEnd w:id="137"/>
      <w:bookmarkEnd w:id="138"/>
      <w:bookmarkEnd w:id="139"/>
      <w:bookmarkEnd w:id="140"/>
    </w:p>
    <w:p>
      <w:pPr>
        <w:pStyle w:val="H6"/>
      </w:pPr>
      <w:r>
        <w:t>6.5.3.2.4.1</w:t>
      </w:r>
      <w:r>
        <w:tab/>
      </w:r>
      <w:r>
        <w:rPr>
          <w:snapToGrid w:val="0"/>
        </w:rP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pPr>
        <w:pStyle w:val="TH"/>
        <w:rPr>
          <w:lang w:eastAsia="zh-CN"/>
        </w:rPr>
      </w:pPr>
      <w:r>
        <w:lastRenderedPageBreak/>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 xml:space="preserve">Low range, </w:t>
            </w:r>
            <w:proofErr w:type="spellStart"/>
            <w:r>
              <w:t>Mid range</w:t>
            </w:r>
            <w:proofErr w:type="spellEnd"/>
            <w:r>
              <w:t>,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pPr>
            <w: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TAC"/>
            </w:pPr>
            <w:r>
              <w:t>N/A</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proofErr w:type="spellStart"/>
            <w:r>
              <w:t>Outer_Full</w:t>
            </w:r>
            <w:proofErr w:type="spellEnd"/>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 xml:space="preserve">according to TS 38.508-1 [5]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[5] subclause 4.6.</w:t>
      </w:r>
    </w:p>
    <w:p>
      <w:pPr>
        <w:pStyle w:val="H6"/>
      </w:pPr>
      <w:bookmarkStart w:id="141" w:name="_Toc27478187"/>
      <w:bookmarkStart w:id="142" w:name="_Toc36226899"/>
      <w:bookmarkStart w:id="143" w:name="_Toc44324184"/>
      <w:bookmarkStart w:id="144" w:name="_Toc52990378"/>
      <w:bookmarkStart w:id="145" w:name="_Toc60823577"/>
      <w:bookmarkStart w:id="146" w:name="_Toc60825499"/>
      <w:r>
        <w:rPr>
          <w:snapToGrid w:val="0"/>
        </w:rPr>
        <w:t>6.5.3.2.5</w:t>
      </w:r>
      <w:r>
        <w:rPr>
          <w:snapToGrid w:val="0"/>
        </w:rPr>
        <w:tab/>
      </w:r>
      <w:r>
        <w:t>Test requirement</w:t>
      </w:r>
      <w:bookmarkEnd w:id="141"/>
      <w:bookmarkEnd w:id="142"/>
      <w:bookmarkEnd w:id="143"/>
      <w:bookmarkEnd w:id="144"/>
      <w:bookmarkEnd w:id="145"/>
      <w:bookmarkEnd w:id="146"/>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r>
        <w:t xml:space="preserve">The measured average power of spurious emission, derived in step </w:t>
      </w:r>
      <w:r>
        <w:rPr>
          <w:rFonts w:eastAsia="MS Mincho"/>
        </w:rPr>
        <w:t>3</w:t>
      </w:r>
      <w:r>
        <w:t>, shall not exceed the described value in Table 6.5.3.2.3-1 to 6.5.3.2.3-3 for difference releases.</w:t>
      </w:r>
    </w:p>
    <w:p>
      <w:r>
        <w:lastRenderedPageBreak/>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909" w:type="dxa"/>
            <w:gridSpan w:val="4"/>
            <w:vAlign w:val="center"/>
          </w:tcPr>
          <w:p>
            <w:pPr>
              <w:pStyle w:val="TAH"/>
            </w:pPr>
            <w:r>
              <w:t>UE Requirements per release</w:t>
            </w:r>
          </w:p>
        </w:tc>
      </w:tr>
      <w:tr>
        <w:trPr>
          <w:trHeight w:val="227"/>
          <w:jc w:val="center"/>
        </w:trPr>
        <w:tc>
          <w:tcPr>
            <w:tcW w:w="1227" w:type="dxa"/>
            <w:vAlign w:val="center"/>
          </w:tcPr>
          <w:p>
            <w:pPr>
              <w:pStyle w:val="TAH"/>
            </w:pPr>
            <w:r>
              <w:t>NR Band</w:t>
            </w:r>
          </w:p>
        </w:tc>
        <w:tc>
          <w:tcPr>
            <w:tcW w:w="1896" w:type="dxa"/>
          </w:tcPr>
          <w:p>
            <w:pPr>
              <w:pStyle w:val="TAH"/>
            </w:pPr>
            <w:r>
              <w:t>Rel-15</w:t>
            </w:r>
          </w:p>
        </w:tc>
        <w:tc>
          <w:tcPr>
            <w:tcW w:w="1893" w:type="dxa"/>
          </w:tcPr>
          <w:p>
            <w:pPr>
              <w:pStyle w:val="TAH"/>
            </w:pPr>
            <w:r>
              <w:t>Rel-16</w:t>
            </w:r>
          </w:p>
        </w:tc>
        <w:tc>
          <w:tcPr>
            <w:tcW w:w="1893" w:type="dxa"/>
          </w:tcPr>
          <w:p>
            <w:pPr>
              <w:pStyle w:val="TAH"/>
              <w:rPr>
                <w:lang w:eastAsia="zh-CN"/>
              </w:rPr>
            </w:pPr>
            <w:r>
              <w:rPr>
                <w:lang w:eastAsia="zh-CN"/>
              </w:rPr>
              <w:t>R17</w:t>
            </w:r>
          </w:p>
        </w:tc>
      </w:tr>
      <w:tr>
        <w:trPr>
          <w:trHeight w:val="227"/>
          <w:jc w:val="center"/>
        </w:trPr>
        <w:tc>
          <w:tcPr>
            <w:tcW w:w="1227" w:type="dxa"/>
            <w:vAlign w:val="center"/>
          </w:tcPr>
          <w:p>
            <w:pPr>
              <w:pStyle w:val="TAC"/>
            </w:pPr>
            <w:r>
              <w:t>n1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n14</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n24</w:t>
            </w:r>
          </w:p>
        </w:tc>
        <w:tc>
          <w:tcPr>
            <w:tcW w:w="1896" w:type="dxa"/>
            <w:vAlign w:val="center"/>
          </w:tcPr>
          <w:p>
            <w:pPr>
              <w:pStyle w:val="TAC"/>
            </w:pPr>
            <w:r>
              <w:t>Table 6.5.3.2.3-3</w:t>
            </w:r>
          </w:p>
        </w:tc>
        <w:tc>
          <w:tcPr>
            <w:tcW w:w="1893" w:type="dxa"/>
            <w:vAlign w:val="center"/>
          </w:tcPr>
          <w:p>
            <w:pPr>
              <w:pStyle w:val="TAC"/>
            </w:pPr>
            <w:r>
              <w:t>Table 6.5.3.2.3-3</w:t>
            </w:r>
          </w:p>
        </w:tc>
        <w:tc>
          <w:tcPr>
            <w:tcW w:w="1893" w:type="dxa"/>
          </w:tcPr>
          <w:p>
            <w:pPr>
              <w:pStyle w:val="TAC"/>
            </w:pPr>
            <w:r>
              <w:t>Table 6.5.3.2.3-3</w:t>
            </w:r>
          </w:p>
        </w:tc>
      </w:tr>
      <w:tr>
        <w:trPr>
          <w:trHeight w:val="227"/>
          <w:jc w:val="center"/>
        </w:trPr>
        <w:tc>
          <w:tcPr>
            <w:tcW w:w="1227" w:type="dxa"/>
            <w:vAlign w:val="center"/>
          </w:tcPr>
          <w:p>
            <w:pPr>
              <w:pStyle w:val="TAC"/>
            </w:pPr>
            <w:r>
              <w:t>n25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n26</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n30</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rPr>
                <w:lang w:eastAsia="zh-CN"/>
              </w:rPr>
            </w:pPr>
            <w:r>
              <w:t>Table 6.5.3.2.3-3</w:t>
            </w:r>
          </w:p>
        </w:tc>
      </w:tr>
      <w:tr>
        <w:trPr>
          <w:trHeight w:val="227"/>
          <w:jc w:val="center"/>
        </w:trPr>
        <w:tc>
          <w:tcPr>
            <w:tcW w:w="1227" w:type="dxa"/>
            <w:vAlign w:val="center"/>
          </w:tcPr>
          <w:p>
            <w:pPr>
              <w:pStyle w:val="TAC"/>
            </w:pPr>
            <w:r>
              <w:t>n51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96"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27" w:type="dxa"/>
            <w:vAlign w:val="center"/>
          </w:tcPr>
          <w:p>
            <w:pPr>
              <w:pStyle w:val="TAC"/>
            </w:pPr>
            <w:r>
              <w:t>n65</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n66</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n77, n78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6909" w:type="dxa"/>
            <w:gridSpan w:val="4"/>
            <w:vAlign w:val="center"/>
          </w:tcPr>
          <w:p>
            <w:pPr>
              <w:pStyle w:val="TAN"/>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TAN"/>
            </w:pPr>
            <w:r>
              <w:t>NOTE 2:</w:t>
            </w:r>
            <w:r>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
      <w:pPr>
        <w:rPr>
          <w:rFonts w:eastAsia="??"/>
          <w:color w:val="FF0000"/>
          <w:sz w:val="28"/>
          <w:szCs w:val="28"/>
        </w:rPr>
      </w:pPr>
      <w:r>
        <w:rPr>
          <w:rFonts w:eastAsia="??"/>
          <w:color w:val="FF0000"/>
          <w:sz w:val="28"/>
          <w:szCs w:val="28"/>
          <w:highlight w:val="yellow"/>
        </w:rPr>
        <w:t>&lt;&lt; Unchanged sections skipped&gt;&gt;</w:t>
      </w:r>
    </w:p>
    <w:p>
      <w:r>
        <w:t xml:space="preserve"> For the Rx REFSENS requirements, TDD/FDD 2Rx, TDD/FDD 1Rx, HD-FDD 2Rx and HD-FDD 1Rx requirements are specified separately. For test cases other than REFSENS, no exception requirements are specified, but considering those requirements have dependency on REFSENS, the UL/DL RB allocation would follow that of REFSENS.</w:t>
      </w: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80257522">
    <w:abstractNumId w:val="7"/>
  </w:num>
  <w:num w:numId="2" w16cid:durableId="1672753185">
    <w:abstractNumId w:val="24"/>
  </w:num>
  <w:num w:numId="3" w16cid:durableId="347799990">
    <w:abstractNumId w:val="4"/>
  </w:num>
  <w:num w:numId="4" w16cid:durableId="1386489730">
    <w:abstractNumId w:val="13"/>
  </w:num>
  <w:num w:numId="5" w16cid:durableId="1537425751">
    <w:abstractNumId w:val="10"/>
  </w:num>
  <w:num w:numId="6" w16cid:durableId="1875993858">
    <w:abstractNumId w:val="21"/>
  </w:num>
  <w:num w:numId="7" w16cid:durableId="1130053812">
    <w:abstractNumId w:val="25"/>
  </w:num>
  <w:num w:numId="8" w16cid:durableId="107436623">
    <w:abstractNumId w:val="26"/>
  </w:num>
  <w:num w:numId="9" w16cid:durableId="1475102541">
    <w:abstractNumId w:val="8"/>
  </w:num>
  <w:num w:numId="10" w16cid:durableId="633949520">
    <w:abstractNumId w:val="5"/>
  </w:num>
  <w:num w:numId="11" w16cid:durableId="1219393862">
    <w:abstractNumId w:val="11"/>
  </w:num>
  <w:num w:numId="12" w16cid:durableId="1355035905">
    <w:abstractNumId w:val="12"/>
  </w:num>
  <w:num w:numId="13" w16cid:durableId="793713115">
    <w:abstractNumId w:val="9"/>
  </w:num>
  <w:num w:numId="14" w16cid:durableId="460808622">
    <w:abstractNumId w:val="19"/>
  </w:num>
  <w:num w:numId="15" w16cid:durableId="506140520">
    <w:abstractNumId w:val="0"/>
  </w:num>
  <w:num w:numId="16" w16cid:durableId="947660920">
    <w:abstractNumId w:val="2"/>
  </w:num>
  <w:num w:numId="17" w16cid:durableId="790170572">
    <w:abstractNumId w:val="18"/>
  </w:num>
  <w:num w:numId="18" w16cid:durableId="879827775">
    <w:abstractNumId w:val="14"/>
  </w:num>
  <w:num w:numId="19" w16cid:durableId="83957728">
    <w:abstractNumId w:val="17"/>
  </w:num>
  <w:num w:numId="20" w16cid:durableId="445463091">
    <w:abstractNumId w:val="22"/>
  </w:num>
  <w:num w:numId="21" w16cid:durableId="1837259545">
    <w:abstractNumId w:val="6"/>
  </w:num>
  <w:num w:numId="22" w16cid:durableId="678042285">
    <w:abstractNumId w:val="16"/>
  </w:num>
  <w:num w:numId="23" w16cid:durableId="565998322">
    <w:abstractNumId w:val="15"/>
  </w:num>
  <w:num w:numId="24" w16cid:durableId="1910188430">
    <w:abstractNumId w:val="23"/>
  </w:num>
  <w:num w:numId="25" w16cid:durableId="1676180407">
    <w:abstractNumId w:val="27"/>
  </w:num>
  <w:num w:numId="26" w16cid:durableId="2139370298">
    <w:abstractNumId w:val="20"/>
  </w:num>
  <w:num w:numId="27" w16cid:durableId="1929925004">
    <w:abstractNumId w:val="3"/>
  </w:num>
  <w:num w:numId="28" w16cid:durableId="6801997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1,FH Char1"/>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spacing w:after="160" w:line="259" w:lineRule="auto"/>
    </w:pPr>
    <w:rPr>
      <w:color w:val="000000"/>
      <w:lang w:eastAsia="ja-JP"/>
    </w:rPr>
  </w:style>
  <w:style w:type="paragraph" w:customStyle="1" w:styleId="Guidance">
    <w:name w:val="Guidance"/>
    <w:basedOn w:val="Normal"/>
    <w:link w:val="GuidanceChar"/>
    <w:qFormat/>
    <w:pPr>
      <w:spacing w:after="160" w:line="259" w:lineRule="auto"/>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spacing w:after="160" w:line="259" w:lineRule="auto"/>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spacing w:after="160" w:line="259" w:lineRule="auto"/>
    </w:pPr>
    <w:rPr>
      <w:color w:val="000000"/>
      <w:lang w:eastAsia="x-none"/>
    </w:rPr>
  </w:style>
  <w:style w:type="paragraph" w:customStyle="1" w:styleId="B3">
    <w:name w:val="B3+"/>
    <w:basedOn w:val="B30"/>
    <w:qFormat/>
    <w:pPr>
      <w:numPr>
        <w:numId w:val="3"/>
      </w:numPr>
      <w:tabs>
        <w:tab w:val="left" w:pos="1134"/>
      </w:tabs>
      <w:spacing w:after="160" w:line="259" w:lineRule="auto"/>
    </w:pPr>
    <w:rPr>
      <w:color w:val="000000"/>
      <w:lang w:eastAsia="ja-JP"/>
    </w:rPr>
  </w:style>
  <w:style w:type="paragraph" w:customStyle="1" w:styleId="BL">
    <w:name w:val="BL"/>
    <w:basedOn w:val="Normal"/>
    <w:qFormat/>
    <w:pPr>
      <w:numPr>
        <w:numId w:val="4"/>
      </w:numPr>
      <w:tabs>
        <w:tab w:val="left" w:pos="851"/>
      </w:tabs>
      <w:spacing w:after="160" w:line="259" w:lineRule="auto"/>
    </w:pPr>
    <w:rPr>
      <w:color w:val="000000"/>
      <w:lang w:eastAsia="ja-JP"/>
    </w:rPr>
  </w:style>
  <w:style w:type="paragraph" w:customStyle="1" w:styleId="BN">
    <w:name w:val="BN"/>
    <w:basedOn w:val="Normal"/>
    <w:qFormat/>
    <w:pPr>
      <w:numPr>
        <w:numId w:val="5"/>
      </w:numPr>
      <w:spacing w:after="160" w:line="259" w:lineRule="auto"/>
    </w:pPr>
    <w:rPr>
      <w:color w:val="000000"/>
      <w:lang w:eastAsia="ja-JP"/>
    </w:rPr>
  </w:style>
  <w:style w:type="paragraph" w:customStyle="1" w:styleId="FL">
    <w:name w:val="FL"/>
    <w:basedOn w:val="Normal"/>
    <w:qFormat/>
    <w:pPr>
      <w:keepNext/>
      <w:keepLines/>
      <w:spacing w:before="60" w:after="160" w:line="259" w:lineRule="auto"/>
      <w:jc w:val="center"/>
    </w:pPr>
    <w:rPr>
      <w:rFonts w:ascii="Arial" w:hAnsi="Arial"/>
      <w:b/>
      <w:color w:val="000000"/>
      <w:lang w:eastAsia="ja-JP"/>
    </w:rPr>
  </w:style>
  <w:style w:type="paragraph" w:customStyle="1" w:styleId="TB1">
    <w:name w:val="TB1"/>
    <w:basedOn w:val="Normal"/>
    <w:qFormat/>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customStyle="1" w:styleId="UnresolvedMention1">
    <w:name w:val="Unresolved Mention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pPr>
      <w:spacing w:after="160"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60"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spacing w:after="160" w:line="259" w:lineRule="auto"/>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spacing w:after="160" w:line="259" w:lineRule="auto"/>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spacing w:after="160"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spacing w:after="160"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spacing w:after="0" w:line="259" w:lineRule="auto"/>
      <w:ind w:left="851"/>
    </w:pPr>
    <w:rPr>
      <w:rFonts w:eastAsia="MS Mincho"/>
      <w:color w:val="000000"/>
      <w:lang w:val="it-IT" w:eastAsia="ja-JP"/>
    </w:rPr>
  </w:style>
  <w:style w:type="paragraph" w:styleId="ListNumber5">
    <w:name w:val="List Number 5"/>
    <w:basedOn w:val="Normal"/>
    <w:qFormat/>
    <w:pPr>
      <w:tabs>
        <w:tab w:val="num" w:pos="851"/>
        <w:tab w:val="num" w:pos="1800"/>
      </w:tabs>
      <w:spacing w:after="160" w:line="259" w:lineRule="auto"/>
      <w:ind w:left="1800" w:hanging="851"/>
    </w:pPr>
    <w:rPr>
      <w:rFonts w:eastAsia="MS Mincho"/>
      <w:color w:val="000000"/>
      <w:lang w:eastAsia="ja-JP"/>
    </w:rPr>
  </w:style>
  <w:style w:type="paragraph" w:styleId="ListNumber3">
    <w:name w:val="List Number 3"/>
    <w:basedOn w:val="Normal"/>
    <w:qFormat/>
    <w:pPr>
      <w:numPr>
        <w:numId w:val="10"/>
      </w:numPr>
      <w:tabs>
        <w:tab w:val="num" w:pos="926"/>
      </w:tabs>
      <w:spacing w:after="160" w:line="259" w:lineRule="auto"/>
      <w:ind w:left="926"/>
    </w:pPr>
    <w:rPr>
      <w:rFonts w:eastAsia="MS Mincho"/>
      <w:color w:val="000000"/>
      <w:lang w:eastAsia="ja-JP"/>
    </w:rPr>
  </w:style>
  <w:style w:type="paragraph" w:styleId="ListNumber4">
    <w:name w:val="List Number 4"/>
    <w:basedOn w:val="Normal"/>
    <w:qFormat/>
    <w:pPr>
      <w:numPr>
        <w:numId w:val="9"/>
      </w:numPr>
      <w:tabs>
        <w:tab w:val="num" w:pos="1209"/>
      </w:tabs>
      <w:spacing w:after="160" w:line="259" w:lineRule="auto"/>
      <w:ind w:left="1209"/>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snapToGrid w:val="0"/>
      <w:spacing w:after="160" w:line="259" w:lineRule="auto"/>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spacing w:after="160" w:line="259" w:lineRule="auto"/>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spacing w:after="160" w:line="259" w:lineRule="auto"/>
      <w:ind w:left="851"/>
    </w:pPr>
    <w:rPr>
      <w:rFonts w:eastAsia="SimSun"/>
      <w:color w:val="000000"/>
      <w:lang w:eastAsia="ja-JP"/>
    </w:rPr>
  </w:style>
  <w:style w:type="paragraph" w:customStyle="1" w:styleId="INDENT2">
    <w:name w:val="INDENT2"/>
    <w:basedOn w:val="Normal"/>
    <w:qFormat/>
    <w:pPr>
      <w:spacing w:after="160" w:line="259" w:lineRule="auto"/>
      <w:ind w:left="1135" w:hanging="284"/>
    </w:pPr>
    <w:rPr>
      <w:rFonts w:eastAsia="SimSun"/>
      <w:color w:val="000000"/>
      <w:lang w:eastAsia="ja-JP"/>
    </w:rPr>
  </w:style>
  <w:style w:type="paragraph" w:customStyle="1" w:styleId="INDENT3">
    <w:name w:val="INDENT3"/>
    <w:basedOn w:val="Normal"/>
    <w:qFormat/>
    <w:pPr>
      <w:spacing w:after="160" w:line="259" w:lineRule="auto"/>
      <w:ind w:left="1701" w:hanging="567"/>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pPr>
      <w:keepNext/>
      <w:keepLines/>
      <w:spacing w:after="160" w:line="259" w:lineRule="auto"/>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spacing w:before="86" w:after="160" w:line="259" w:lineRule="auto"/>
      <w:ind w:left="1588" w:hanging="397"/>
      <w:jc w:val="both"/>
    </w:pPr>
    <w:rPr>
      <w:rFonts w:eastAsia="SimSun"/>
      <w:color w:val="000000"/>
      <w:lang w:val="en-US" w:eastAsia="ja-JP"/>
    </w:rPr>
  </w:style>
  <w:style w:type="paragraph" w:customStyle="1" w:styleId="CouvRecTitle">
    <w:name w:val="Couv Rec Title"/>
    <w:basedOn w:val="Normal"/>
    <w:qFormat/>
    <w:pPr>
      <w:keepNext/>
      <w:keepLines/>
      <w:spacing w:before="240" w:after="160" w:line="259" w:lineRule="auto"/>
      <w:ind w:left="1418"/>
    </w:pPr>
    <w:rPr>
      <w:rFonts w:ascii="Arial" w:eastAsia="SimSun" w:hAnsi="Arial"/>
      <w:b/>
      <w:color w:val="000000"/>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spacing w:after="160" w:line="259" w:lineRule="auto"/>
    </w:pPr>
    <w:rPr>
      <w:color w:val="000000"/>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pPr>
      <w:spacing w:after="160" w:line="259" w:lineRule="auto"/>
    </w:pPr>
    <w:rPr>
      <w:rFonts w:eastAsia="SimSun"/>
      <w:color w:val="000000"/>
      <w:lang w:eastAsia="ja-JP"/>
    </w:rPr>
  </w:style>
  <w:style w:type="paragraph" w:customStyle="1" w:styleId="TaOC">
    <w:name w:val="TaOC"/>
    <w:basedOn w:val="TAC"/>
    <w:qFormat/>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spacing w:after="160" w:line="259" w:lineRule="auto"/>
      <w:ind w:left="928" w:hanging="360"/>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spacing w:after="160"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pPr>
      <w:spacing w:after="160" w:line="259" w:lineRule="auto"/>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spacing w:after="160" w:line="259" w:lineRule="auto"/>
    </w:pPr>
    <w:rPr>
      <w:rFonts w:ascii="Tahoma" w:eastAsia="MS Mincho" w:hAnsi="Tahoma" w:cs="Tahoma"/>
      <w:color w:val="000000"/>
      <w:sz w:val="16"/>
      <w:szCs w:val="16"/>
      <w:lang w:eastAsia="ja-JP"/>
    </w:rPr>
  </w:style>
  <w:style w:type="paragraph" w:customStyle="1" w:styleId="Note">
    <w:name w:val="Note"/>
    <w:basedOn w:val="B10"/>
    <w:qFormat/>
    <w:pPr>
      <w:spacing w:after="160" w:line="259" w:lineRule="auto"/>
    </w:pPr>
    <w:rPr>
      <w:rFonts w:eastAsia="MS Mincho"/>
      <w:color w:val="000000"/>
      <w:lang w:eastAsia="ja-JP"/>
    </w:rPr>
  </w:style>
  <w:style w:type="paragraph" w:customStyle="1" w:styleId="tabletext0">
    <w:name w:val="table text"/>
    <w:basedOn w:val="Normal"/>
    <w:next w:val="Normal"/>
    <w:qFormat/>
    <w:pPr>
      <w:spacing w:after="160" w:line="259" w:lineRule="auto"/>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spacing w:before="120" w:after="120" w:line="259" w:lineRule="auto"/>
    </w:pPr>
    <w:rPr>
      <w:rFonts w:eastAsia="MS Mincho"/>
      <w:b/>
      <w:color w:val="000000"/>
      <w:lang w:eastAsia="ja-JP"/>
    </w:rPr>
  </w:style>
  <w:style w:type="paragraph" w:customStyle="1" w:styleId="HE">
    <w:name w:val="HE"/>
    <w:basedOn w:val="Normal"/>
    <w:qFormat/>
    <w:pPr>
      <w:spacing w:after="0" w:line="259" w:lineRule="auto"/>
    </w:pPr>
    <w:rPr>
      <w:rFonts w:eastAsia="MS Mincho"/>
      <w:b/>
      <w:color w:val="000000"/>
      <w:lang w:eastAsia="ja-JP"/>
    </w:rPr>
  </w:style>
  <w:style w:type="paragraph" w:customStyle="1" w:styleId="HO">
    <w:name w:val="HO"/>
    <w:basedOn w:val="Normal"/>
    <w:qFormat/>
    <w:pPr>
      <w:spacing w:after="0" w:line="259" w:lineRule="auto"/>
      <w:jc w:val="right"/>
    </w:pPr>
    <w:rPr>
      <w:rFonts w:eastAsia="MS Mincho"/>
      <w:b/>
      <w:color w:val="000000"/>
      <w:lang w:eastAsia="ja-JP"/>
    </w:rPr>
  </w:style>
  <w:style w:type="paragraph" w:customStyle="1" w:styleId="WP">
    <w:name w:val="WP"/>
    <w:basedOn w:val="Normal"/>
    <w:qFormat/>
    <w:pPr>
      <w:spacing w:after="0" w:line="259" w:lineRule="auto"/>
      <w:jc w:val="both"/>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spacing w:after="160" w:line="259" w:lineRule="auto"/>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line="259" w:lineRule="auto"/>
    </w:pPr>
    <w:rPr>
      <w:rFonts w:eastAsia="MS Mincho"/>
      <w:color w:val="000000"/>
      <w:lang w:val="en-US" w:eastAsia="ja-JP"/>
    </w:rPr>
  </w:style>
  <w:style w:type="paragraph" w:customStyle="1" w:styleId="Teststep">
    <w:name w:val="Test step"/>
    <w:basedOn w:val="Normal"/>
    <w:qFormat/>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spacing w:after="160" w:line="259" w:lineRule="auto"/>
      <w:ind w:left="400" w:hanging="400"/>
      <w:jc w:val="center"/>
    </w:pPr>
    <w:rPr>
      <w:rFonts w:eastAsia="MS Mincho"/>
      <w:b/>
      <w:color w:val="000000"/>
      <w:lang w:eastAsia="ja-JP"/>
    </w:rPr>
  </w:style>
  <w:style w:type="paragraph" w:customStyle="1" w:styleId="table">
    <w:name w:val="table"/>
    <w:basedOn w:val="Normal"/>
    <w:next w:val="Normal"/>
    <w:qFormat/>
    <w:pPr>
      <w:spacing w:after="0" w:line="259" w:lineRule="auto"/>
      <w:jc w:val="center"/>
    </w:pPr>
    <w:rPr>
      <w:rFonts w:eastAsia="MS Mincho"/>
      <w:color w:val="000000"/>
      <w:lang w:val="en-US" w:eastAsia="ja-JP"/>
    </w:rPr>
  </w:style>
  <w:style w:type="paragraph" w:customStyle="1" w:styleId="t2">
    <w:name w:val="t2"/>
    <w:basedOn w:val="Normal"/>
    <w:qFormat/>
    <w:pPr>
      <w:spacing w:after="0" w:line="259" w:lineRule="auto"/>
    </w:pPr>
    <w:rPr>
      <w:rFonts w:eastAsia="MS Mincho"/>
      <w:color w:val="000000"/>
      <w:lang w:eastAsia="ja-JP"/>
    </w:rPr>
  </w:style>
  <w:style w:type="paragraph" w:customStyle="1" w:styleId="CommentNokia">
    <w:name w:val="Comment Nokia"/>
    <w:basedOn w:val="Normal"/>
    <w:qFormat/>
    <w:pPr>
      <w:tabs>
        <w:tab w:val="left" w:pos="360"/>
      </w:tabs>
      <w:spacing w:after="160" w:line="259" w:lineRule="auto"/>
      <w:ind w:left="360" w:hanging="360"/>
    </w:pPr>
    <w:rPr>
      <w:rFonts w:eastAsia="MS Mincho"/>
      <w:color w:val="000000"/>
      <w:sz w:val="22"/>
      <w:lang w:val="en-US" w:eastAsia="ja-JP"/>
    </w:rPr>
  </w:style>
  <w:style w:type="paragraph" w:customStyle="1" w:styleId="Copyright">
    <w:name w:val="Copyright"/>
    <w:basedOn w:val="Normal"/>
    <w:qFormat/>
    <w:pPr>
      <w:spacing w:after="0" w:line="259" w:lineRule="auto"/>
      <w:jc w:val="center"/>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spacing w:after="0" w:line="259" w:lineRule="auto"/>
      <w:ind w:left="567" w:hanging="283"/>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line="259" w:lineRule="auto"/>
      <w:ind w:left="1298"/>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spacing w:line="259" w:lineRule="auto"/>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spacing w:after="160" w:line="259" w:lineRule="auto"/>
      <w:ind w:left="400" w:hanging="400"/>
      <w:jc w:val="center"/>
    </w:pPr>
    <w:rPr>
      <w:b/>
      <w:color w:val="000000"/>
      <w:lang w:eastAsia="ja-JP"/>
    </w:rPr>
  </w:style>
  <w:style w:type="paragraph" w:styleId="BodyTextIndent3">
    <w:name w:val="Body Text Indent 3"/>
    <w:basedOn w:val="Normal"/>
    <w:link w:val="BodyTextIndent3Char"/>
    <w:qFormat/>
    <w:pPr>
      <w:spacing w:after="160" w:line="259" w:lineRule="auto"/>
      <w:ind w:left="1080"/>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line="259" w:lineRule="auto"/>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spacing w:before="240" w:after="16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pPr>
      <w:spacing w:after="240" w:line="259" w:lineRule="auto"/>
      <w:jc w:val="both"/>
    </w:pPr>
    <w:rPr>
      <w:rFonts w:ascii="Helvetica" w:eastAsia="SimSun" w:hAnsi="Helvetica"/>
      <w:color w:val="000000"/>
      <w:lang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pPr>
      <w:numPr>
        <w:numId w:val="13"/>
      </w:numPr>
      <w:spacing w:line="259" w:lineRule="auto"/>
    </w:pPr>
    <w:rPr>
      <w:lang w:val="x-none" w:eastAsia="ja-JP"/>
    </w:rPr>
  </w:style>
  <w:style w:type="paragraph" w:customStyle="1" w:styleId="TdocText">
    <w:name w:val="Tdoc_Text"/>
    <w:basedOn w:val="Normal"/>
    <w:qFormat/>
    <w:pPr>
      <w:spacing w:before="120" w:after="0" w:line="259" w:lineRule="auto"/>
      <w:jc w:val="both"/>
    </w:pPr>
    <w:rPr>
      <w:rFonts w:eastAsia="SimSun"/>
      <w:color w:val="000000"/>
      <w:lang w:val="en-US" w:eastAsia="ja-JP"/>
    </w:rPr>
  </w:style>
  <w:style w:type="paragraph" w:customStyle="1" w:styleId="centered">
    <w:name w:val="centered"/>
    <w:basedOn w:val="Normal"/>
    <w:qFormat/>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pPr>
      <w:spacing w:after="160" w:line="259" w:lineRule="auto"/>
      <w:ind w:left="720"/>
      <w:contextualSpacing/>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spacing w:after="160" w:line="259" w:lineRule="auto"/>
      <w:ind w:left="720"/>
      <w:contextualSpacing/>
    </w:pPr>
    <w:rPr>
      <w:rFonts w:eastAsia="SimSun"/>
      <w:color w:val="000000"/>
      <w:lang w:eastAsia="ja-JP"/>
    </w:rPr>
  </w:style>
  <w:style w:type="paragraph" w:customStyle="1" w:styleId="note0">
    <w:name w:val="note"/>
    <w:basedOn w:val="Normal"/>
    <w:qFormat/>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spacing w:after="160"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spacing w:after="160" w:line="259" w:lineRule="auto"/>
      <w:ind w:left="720"/>
      <w:contextualSpacing/>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spacing w:after="160" w:line="259" w:lineRule="auto"/>
      <w:ind w:left="720"/>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pPr>
      <w:spacing w:after="160" w:line="259" w:lineRule="auto"/>
      <w:ind w:left="400" w:hanging="400"/>
      <w:jc w:val="center"/>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spacing w:after="160" w:line="259" w:lineRule="auto"/>
      <w:ind w:left="1985"/>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spacing w:after="160" w:line="259" w:lineRule="auto"/>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spacing w:after="160" w:line="259" w:lineRule="auto"/>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spacing w:after="160" w:line="259" w:lineRule="auto"/>
    </w:pPr>
    <w:rPr>
      <w:rFonts w:eastAsia="PMingLiU"/>
      <w:b/>
      <w:bCs/>
      <w:color w:val="000000"/>
      <w:lang w:eastAsia="x-none"/>
    </w:rPr>
  </w:style>
  <w:style w:type="paragraph" w:customStyle="1" w:styleId="Textedebulles">
    <w:name w:val="Texte de bulles"/>
    <w:basedOn w:val="Normal"/>
    <w:semiHidden/>
    <w:pPr>
      <w:spacing w:after="160" w:line="259" w:lineRule="auto"/>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pPr>
      <w:spacing w:line="259" w:lineRule="auto"/>
    </w:pPr>
    <w:rPr>
      <w:color w:val="000000"/>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spacing w:after="160" w:line="259" w:lineRule="auto"/>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spacing w:after="160" w:line="259" w:lineRule="auto"/>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spacing w:after="160" w:line="259" w:lineRule="auto"/>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spacing w:after="160" w:line="259" w:lineRule="auto"/>
    </w:pPr>
    <w:rPr>
      <w:color w:val="000000"/>
      <w:lang w:eastAsia="ja-JP"/>
    </w:rPr>
  </w:style>
  <w:style w:type="paragraph" w:customStyle="1" w:styleId="1e9pt">
    <w:name w:val="1e) 9 pt"/>
    <w:basedOn w:val="B10"/>
    <w:link w:val="1e9ptCar"/>
    <w:pPr>
      <w:spacing w:after="160" w:line="259" w:lineRule="auto"/>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pPr>
      <w:spacing w:after="160"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spacing w:after="160" w:line="259" w:lineRule="auto"/>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pPr>
      <w:spacing w:after="160" w:line="259" w:lineRule="auto"/>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spacing w:after="160"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pPr>
      <w:keepNext/>
      <w:spacing w:after="0" w:line="259" w:lineRule="auto"/>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spacing w:after="160"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pPr>
      <w:spacing w:after="0" w:line="259" w:lineRule="auto"/>
      <w:ind w:leftChars="400" w:left="400"/>
    </w:pPr>
    <w:rPr>
      <w:color w:val="000000"/>
      <w:sz w:val="24"/>
      <w:szCs w:val="24"/>
      <w:lang w:val="en-US" w:eastAsia="ja-JP"/>
    </w:rPr>
  </w:style>
  <w:style w:type="paragraph" w:customStyle="1" w:styleId="no0">
    <w:name w:val="no"/>
    <w:basedOn w:val="Normal"/>
    <w:pPr>
      <w:spacing w:after="160" w:line="259" w:lineRule="auto"/>
      <w:ind w:left="1135" w:hanging="851"/>
    </w:pPr>
    <w:rPr>
      <w:color w:val="000000"/>
      <w:lang w:val="en-US" w:eastAsia="ja-JP"/>
    </w:rPr>
  </w:style>
  <w:style w:type="paragraph" w:customStyle="1" w:styleId="talcharchar0">
    <w:name w:val="talcharchar"/>
    <w:basedOn w:val="Normal"/>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spacing w:after="160" w:line="259" w:lineRule="auto"/>
      <w:ind w:left="1984" w:hanging="281"/>
    </w:pPr>
    <w:rPr>
      <w:color w:val="000000"/>
      <w:lang w:eastAsia="ja-JP"/>
    </w:rPr>
  </w:style>
  <w:style w:type="paragraph" w:customStyle="1" w:styleId="LD1">
    <w:name w:val="LD 1"/>
    <w:basedOn w:val="Normal"/>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pPr>
      <w:spacing w:after="160" w:line="259" w:lineRule="auto"/>
    </w:pPr>
    <w:rPr>
      <w:rFonts w:ascii="Arial" w:eastAsia="MS Mincho" w:hAnsi="Arial"/>
      <w:noProof/>
      <w:color w:val="000000"/>
      <w:lang w:eastAsia="ja-JP"/>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spacing w:after="160" w:line="259" w:lineRule="auto"/>
      <w:ind w:firstLineChars="200" w:firstLine="420"/>
    </w:pPr>
    <w:rPr>
      <w:color w:val="000000"/>
      <w:lang w:eastAsia="ja-JP"/>
    </w:rPr>
  </w:style>
  <w:style w:type="paragraph" w:customStyle="1" w:styleId="19">
    <w:name w:val="列出段落1"/>
    <w:basedOn w:val="Normal"/>
    <w:qFormat/>
    <w:pPr>
      <w:spacing w:after="160" w:line="259" w:lineRule="auto"/>
      <w:ind w:firstLineChars="200" w:firstLine="420"/>
    </w:pPr>
    <w:rPr>
      <w:color w:val="000000"/>
      <w:lang w:eastAsia="ja-JP"/>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spacing w:after="160"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pPr>
      <w:spacing w:after="160"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pPr>
      <w:spacing w:after="160" w:line="259" w:lineRule="auto"/>
      <w:ind w:left="851" w:hanging="284"/>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pPr>
      <w:suppressLineNumbers/>
      <w:suppressAutoHyphens/>
      <w:spacing w:after="160" w:line="259" w:lineRule="auto"/>
    </w:pPr>
    <w:rPr>
      <w:rFonts w:eastAsia="MS Mincho" w:cs="Mangal"/>
      <w:color w:val="000000"/>
      <w:lang w:eastAsia="ar-SA"/>
    </w:rPr>
  </w:style>
  <w:style w:type="paragraph" w:customStyle="1" w:styleId="af">
    <w:name w:val="段落番号"/>
    <w:basedOn w:val="List"/>
    <w:pPr>
      <w:tabs>
        <w:tab w:val="num" w:pos="644"/>
      </w:tabs>
      <w:suppressAutoHyphens/>
      <w:spacing w:after="160" w:line="259" w:lineRule="auto"/>
      <w:ind w:left="644" w:hanging="360"/>
    </w:pPr>
    <w:rPr>
      <w:rFonts w:cs="CG Times (WN)"/>
      <w:color w:val="000000"/>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spacing w:after="160" w:line="259" w:lineRule="auto"/>
      <w:ind w:left="644" w:hanging="360"/>
    </w:pPr>
    <w:rPr>
      <w:rFonts w:cs="CG Times (WN)"/>
      <w:color w:val="000000"/>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spacing w:after="160" w:line="259" w:lineRule="auto"/>
      <w:ind w:left="851"/>
    </w:pPr>
    <w:rPr>
      <w:rFonts w:cs="CG Times (WN)"/>
      <w:color w:val="000000"/>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spacing w:after="160" w:line="259" w:lineRule="auto"/>
    </w:pPr>
    <w:rPr>
      <w:rFonts w:eastAsia="MS Mincho" w:cs="CG Times (WN)"/>
      <w:color w:val="000000"/>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WW-">
    <w:name w:val="WW-図表番号"/>
    <w:basedOn w:val="Normal"/>
    <w:next w:val="Normal"/>
    <w:pPr>
      <w:suppressAutoHyphens/>
      <w:spacing w:before="120" w:after="120" w:line="259" w:lineRule="auto"/>
    </w:pPr>
    <w:rPr>
      <w:rFonts w:eastAsia="MS Mincho" w:cs="CG Times (WN)"/>
      <w:b/>
      <w:color w:val="000000"/>
      <w:lang w:eastAsia="ar-SA"/>
    </w:rPr>
  </w:style>
  <w:style w:type="paragraph" w:customStyle="1" w:styleId="af4">
    <w:name w:val="書式なし"/>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8">
    <w:name w:val="本文 2"/>
    <w:basedOn w:val="Normal"/>
    <w:pPr>
      <w:suppressAutoHyphens/>
      <w:spacing w:after="120" w:line="259" w:lineRule="auto"/>
    </w:pPr>
    <w:rPr>
      <w:rFonts w:eastAsia="MS Mincho" w:cs="CG Times (WN)"/>
      <w:color w:val="000000"/>
      <w:lang w:eastAsia="ar-SA"/>
    </w:rPr>
  </w:style>
  <w:style w:type="paragraph" w:customStyle="1" w:styleId="35">
    <w:name w:val="本文 3"/>
    <w:basedOn w:val="Normal"/>
    <w:pPr>
      <w:suppressAutoHyphens/>
      <w:spacing w:after="120" w:line="259" w:lineRule="auto"/>
    </w:pPr>
    <w:rPr>
      <w:rFonts w:eastAsia="MS Mincho" w:cs="CG Times (WN)"/>
      <w:color w:val="000000"/>
      <w:lang w:eastAsia="ar-SA"/>
    </w:rPr>
  </w:style>
  <w:style w:type="paragraph" w:customStyle="1" w:styleId="Web">
    <w:name w:val="標準 (Web)"/>
    <w:basedOn w:val="Normal"/>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pPr>
      <w:suppressAutoHyphens/>
      <w:spacing w:after="160" w:line="259" w:lineRule="auto"/>
      <w:ind w:left="567"/>
    </w:pPr>
    <w:rPr>
      <w:rFonts w:ascii="Arial" w:eastAsia="MS Mincho" w:hAnsi="Arial" w:cs="Arial"/>
      <w:color w:val="000000"/>
      <w:lang w:eastAsia="ar-SA"/>
    </w:rPr>
  </w:style>
  <w:style w:type="paragraph" w:customStyle="1" w:styleId="af5">
    <w:name w:val="標準インデント"/>
    <w:basedOn w:val="Normal"/>
    <w:pPr>
      <w:suppressAutoHyphens/>
      <w:spacing w:after="160" w:line="259" w:lineRule="auto"/>
      <w:ind w:left="708"/>
    </w:pPr>
    <w:rPr>
      <w:rFonts w:eastAsia="MS Mincho" w:cs="CG Times (WN)"/>
      <w:color w:val="000000"/>
      <w:lang w:eastAsia="ar-SA"/>
    </w:rPr>
  </w:style>
  <w:style w:type="paragraph" w:customStyle="1" w:styleId="af6">
    <w:name w:val="記"/>
    <w:basedOn w:val="Normal"/>
    <w:next w:val="Normal"/>
    <w:pPr>
      <w:suppressAutoHyphens/>
      <w:spacing w:after="160" w:line="259" w:lineRule="auto"/>
    </w:pPr>
    <w:rPr>
      <w:rFonts w:eastAsia="MS Mincho" w:cs="CG Times (WN)"/>
      <w:color w:val="000000"/>
      <w:lang w:eastAsia="ar-SA"/>
    </w:rPr>
  </w:style>
  <w:style w:type="paragraph" w:customStyle="1" w:styleId="HTML">
    <w:name w:val="HTML 書式付き"/>
    <w:basedOn w:val="Normal"/>
    <w:pPr>
      <w:suppressAutoHyphens/>
      <w:spacing w:after="160" w:line="259" w:lineRule="auto"/>
    </w:pPr>
    <w:rPr>
      <w:rFonts w:ascii="Courier New" w:eastAsia="MS Mincho" w:hAnsi="Courier New" w:cs="Courier New"/>
      <w:color w:val="000000"/>
      <w:lang w:eastAsia="ar-SA"/>
    </w:rPr>
  </w:style>
  <w:style w:type="paragraph" w:customStyle="1" w:styleId="af7">
    <w:name w:val="表の内容"/>
    <w:basedOn w:val="Normal"/>
    <w:pPr>
      <w:suppressLineNumbers/>
      <w:suppressAutoHyphens/>
      <w:spacing w:after="160" w:line="259" w:lineRule="auto"/>
    </w:pPr>
    <w:rPr>
      <w:rFonts w:eastAsia="MS Mincho" w:cs="CG Times (WN)"/>
      <w:color w:val="000000"/>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spacing w:after="160" w:line="259" w:lineRule="auto"/>
      <w:ind w:left="568" w:hanging="284"/>
    </w:pPr>
    <w:rPr>
      <w:rFonts w:eastAsia="MS Mincho"/>
      <w:color w:val="000000"/>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spacing w:after="160" w:line="259" w:lineRule="auto"/>
    </w:pPr>
    <w:rPr>
      <w:rFonts w:ascii="Tahoma" w:eastAsia="MS Mincho" w:hAnsi="Tahoma"/>
      <w:color w:val="000000"/>
      <w:lang w:eastAsia="ar-SA"/>
    </w:rPr>
  </w:style>
  <w:style w:type="paragraph" w:customStyle="1" w:styleId="PlainText1">
    <w:name w:val="Plain Text1"/>
    <w:basedOn w:val="Normal"/>
    <w:pPr>
      <w:suppressAutoHyphens/>
      <w:spacing w:after="160" w:line="259" w:lineRule="auto"/>
    </w:pPr>
    <w:rPr>
      <w:rFonts w:ascii="Courier New" w:eastAsia="MS Mincho" w:hAnsi="Courier New"/>
      <w:color w:val="000000"/>
      <w:lang w:val="nb-NO" w:eastAsia="ar-SA"/>
    </w:rPr>
  </w:style>
  <w:style w:type="paragraph" w:customStyle="1" w:styleId="CommentText1">
    <w:name w:val="Comment Text1"/>
    <w:basedOn w:val="Normal"/>
    <w:pPr>
      <w:suppressAutoHyphens/>
      <w:spacing w:after="160" w:line="259" w:lineRule="auto"/>
    </w:pPr>
    <w:rPr>
      <w:rFonts w:eastAsia="MS Mincho"/>
      <w:color w:val="000000"/>
      <w:lang w:eastAsia="ar-SA"/>
    </w:rPr>
  </w:style>
  <w:style w:type="paragraph" w:customStyle="1" w:styleId="List31">
    <w:name w:val="List 31"/>
    <w:basedOn w:val="Normal"/>
    <w:pPr>
      <w:suppressAutoHyphens/>
      <w:spacing w:after="160" w:line="259" w:lineRule="auto"/>
      <w:ind w:left="849" w:hanging="283"/>
    </w:pPr>
    <w:rPr>
      <w:rFonts w:eastAsia="MS Mincho"/>
      <w:color w:val="000000"/>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spacing w:after="160" w:line="259" w:lineRule="auto"/>
      <w:ind w:left="644" w:hanging="360"/>
    </w:pPr>
    <w:rPr>
      <w:color w:val="000000"/>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spacing w:after="160" w:line="259" w:lineRule="auto"/>
      <w:ind w:left="851"/>
    </w:pPr>
    <w:rPr>
      <w:color w:val="000000"/>
      <w:lang w:eastAsia="ar-SA"/>
    </w:rPr>
  </w:style>
  <w:style w:type="paragraph" w:customStyle="1" w:styleId="List51">
    <w:name w:val="List 51"/>
    <w:basedOn w:val="List41"/>
    <w:pPr>
      <w:ind w:left="1702"/>
    </w:pPr>
  </w:style>
  <w:style w:type="paragraph" w:customStyle="1" w:styleId="BodyText21">
    <w:name w:val="Body Text 21"/>
    <w:basedOn w:val="Normal"/>
    <w:pPr>
      <w:suppressAutoHyphens/>
      <w:spacing w:after="120" w:line="259" w:lineRule="auto"/>
    </w:pPr>
    <w:rPr>
      <w:rFonts w:eastAsia="MS Mincho"/>
      <w:color w:val="000000"/>
      <w:lang w:eastAsia="ar-SA"/>
    </w:rPr>
  </w:style>
  <w:style w:type="paragraph" w:customStyle="1" w:styleId="BodyText31">
    <w:name w:val="Body Text 31"/>
    <w:basedOn w:val="Normal"/>
    <w:pPr>
      <w:suppressAutoHyphens/>
      <w:spacing w:after="120" w:line="259" w:lineRule="auto"/>
    </w:pPr>
    <w:rPr>
      <w:rFonts w:eastAsia="MS Mincho"/>
      <w:color w:val="000000"/>
      <w:lang w:eastAsia="ar-SA"/>
    </w:rPr>
  </w:style>
  <w:style w:type="paragraph" w:customStyle="1" w:styleId="BodyTextIndent21">
    <w:name w:val="Body Text Indent 21"/>
    <w:basedOn w:val="Normal"/>
    <w:pPr>
      <w:suppressAutoHyphens/>
      <w:spacing w:after="160" w:line="259" w:lineRule="auto"/>
      <w:ind w:left="567"/>
    </w:pPr>
    <w:rPr>
      <w:rFonts w:ascii="Arial" w:eastAsia="MS Mincho" w:hAnsi="Arial" w:cs="Arial"/>
      <w:color w:val="000000"/>
      <w:lang w:eastAsia="ar-SA"/>
    </w:rPr>
  </w:style>
  <w:style w:type="paragraph" w:customStyle="1" w:styleId="NormalIndent1">
    <w:name w:val="Normal Indent1"/>
    <w:basedOn w:val="Normal"/>
    <w:pPr>
      <w:suppressAutoHyphens/>
      <w:spacing w:after="160" w:line="259" w:lineRule="auto"/>
      <w:ind w:left="708"/>
    </w:pPr>
    <w:rPr>
      <w:rFonts w:eastAsia="MS Mincho"/>
      <w:color w:val="000000"/>
      <w:lang w:eastAsia="ar-SA"/>
    </w:rPr>
  </w:style>
  <w:style w:type="paragraph" w:customStyle="1" w:styleId="NoteHeading1">
    <w:name w:val="Note Heading1"/>
    <w:basedOn w:val="Normal"/>
    <w:next w:val="Normal"/>
    <w:pPr>
      <w:suppressAutoHyphens/>
      <w:spacing w:after="160" w:line="259" w:lineRule="auto"/>
    </w:pPr>
    <w:rPr>
      <w:rFonts w:eastAsia="MS Mincho"/>
      <w:color w:val="000000"/>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pPr>
      <w:spacing w:after="0" w:line="240" w:lineRule="exact"/>
      <w:jc w:val="center"/>
    </w:pPr>
    <w:rPr>
      <w:color w:val="000000"/>
      <w:sz w:val="16"/>
      <w:lang w:val="en-US" w:eastAsia="ja-JP"/>
    </w:rPr>
  </w:style>
  <w:style w:type="paragraph" w:customStyle="1" w:styleId="h61">
    <w:name w:val="h6"/>
    <w:basedOn w:val="Normal"/>
    <w:pPr>
      <w:spacing w:before="100" w:beforeAutospacing="1" w:after="100" w:afterAutospacing="1" w:line="259" w:lineRule="auto"/>
    </w:pPr>
    <w:rPr>
      <w:color w:val="000000"/>
      <w:sz w:val="24"/>
      <w:szCs w:val="24"/>
      <w:lang w:val="en-US" w:eastAsia="ja-JP"/>
    </w:rPr>
  </w:style>
  <w:style w:type="paragraph" w:customStyle="1" w:styleId="tah0">
    <w:name w:val="tah"/>
    <w:basedOn w:val="Normal"/>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spacing w:after="160" w:line="259" w:lineRule="auto"/>
      <w:ind w:left="2560" w:hanging="357"/>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spacing w:after="160" w:line="259" w:lineRule="auto"/>
      <w:ind w:left="720"/>
      <w:contextualSpacing/>
    </w:pPr>
    <w:rPr>
      <w:color w:val="000000"/>
      <w:lang w:eastAsia="ja-JP"/>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1d">
    <w:name w:val="段落番号1"/>
    <w:basedOn w:val="List"/>
    <w:pPr>
      <w:tabs>
        <w:tab w:val="num" w:pos="644"/>
      </w:tabs>
      <w:suppressAutoHyphens/>
      <w:spacing w:after="160" w:line="259" w:lineRule="auto"/>
      <w:ind w:left="644" w:hanging="360"/>
    </w:pPr>
    <w:rPr>
      <w:rFonts w:cs="CG Times (WN)"/>
      <w:color w:val="000000"/>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spacing w:after="160" w:line="259" w:lineRule="auto"/>
      <w:ind w:left="644" w:hanging="360"/>
    </w:pPr>
    <w:rPr>
      <w:rFonts w:cs="CG Times (WN)"/>
      <w:color w:val="000000"/>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spacing w:after="160" w:line="259" w:lineRule="auto"/>
      <w:ind w:left="851"/>
    </w:pPr>
    <w:rPr>
      <w:rFonts w:cs="CG Times (WN)"/>
      <w:color w:val="000000"/>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spacing w:after="160" w:line="259" w:lineRule="auto"/>
    </w:pPr>
    <w:rPr>
      <w:rFonts w:eastAsia="MS Mincho" w:cs="CG Times (WN)"/>
      <w:color w:val="000000"/>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1f2">
    <w:name w:val="書式なし1"/>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13">
    <w:name w:val="本文 21"/>
    <w:basedOn w:val="Normal"/>
    <w:pPr>
      <w:suppressAutoHyphens/>
      <w:spacing w:after="120" w:line="259" w:lineRule="auto"/>
    </w:pPr>
    <w:rPr>
      <w:rFonts w:eastAsia="MS Mincho" w:cs="CG Times (WN)"/>
      <w:color w:val="000000"/>
      <w:lang w:eastAsia="ar-SA"/>
    </w:rPr>
  </w:style>
  <w:style w:type="paragraph" w:customStyle="1" w:styleId="312">
    <w:name w:val="本文 31"/>
    <w:basedOn w:val="Normal"/>
    <w:pPr>
      <w:suppressAutoHyphens/>
      <w:spacing w:after="120" w:line="259" w:lineRule="auto"/>
    </w:pPr>
    <w:rPr>
      <w:rFonts w:eastAsia="MS Mincho" w:cs="CG Times (WN)"/>
      <w:color w:val="000000"/>
      <w:lang w:eastAsia="ar-SA"/>
    </w:rPr>
  </w:style>
  <w:style w:type="paragraph" w:customStyle="1" w:styleId="Web1">
    <w:name w:val="標準 (Web)1"/>
    <w:basedOn w:val="Normal"/>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pPr>
      <w:suppressAutoHyphens/>
      <w:spacing w:after="160" w:line="259" w:lineRule="auto"/>
      <w:ind w:left="567"/>
    </w:pPr>
    <w:rPr>
      <w:rFonts w:ascii="Arial" w:eastAsia="MS Mincho" w:hAnsi="Arial" w:cs="Arial"/>
      <w:color w:val="000000"/>
      <w:lang w:eastAsia="ar-SA"/>
    </w:rPr>
  </w:style>
  <w:style w:type="paragraph" w:customStyle="1" w:styleId="1f3">
    <w:name w:val="標準インデント1"/>
    <w:basedOn w:val="Normal"/>
    <w:pPr>
      <w:suppressAutoHyphens/>
      <w:spacing w:after="160" w:line="259" w:lineRule="auto"/>
      <w:ind w:left="708"/>
    </w:pPr>
    <w:rPr>
      <w:rFonts w:eastAsia="MS Mincho" w:cs="CG Times (WN)"/>
      <w:color w:val="000000"/>
      <w:lang w:eastAsia="ar-SA"/>
    </w:rPr>
  </w:style>
  <w:style w:type="paragraph" w:customStyle="1" w:styleId="1f4">
    <w:name w:val="記1"/>
    <w:basedOn w:val="Normal"/>
    <w:next w:val="Normal"/>
    <w:pPr>
      <w:suppressAutoHyphens/>
      <w:spacing w:after="160" w:line="259" w:lineRule="auto"/>
    </w:pPr>
    <w:rPr>
      <w:rFonts w:eastAsia="MS Mincho" w:cs="CG Times (WN)"/>
      <w:color w:val="000000"/>
      <w:lang w:eastAsia="ar-SA"/>
    </w:rPr>
  </w:style>
  <w:style w:type="paragraph" w:customStyle="1" w:styleId="HTML1">
    <w:name w:val="HTML 書式付き1"/>
    <w:basedOn w:val="Normal"/>
    <w:pPr>
      <w:suppressAutoHyphens/>
      <w:spacing w:after="160" w:line="259" w:lineRule="auto"/>
    </w:pPr>
    <w:rPr>
      <w:rFonts w:ascii="Courier New" w:eastAsia="MS Mincho" w:hAnsi="Courier New" w:cs="Courier New"/>
      <w:color w:val="000000"/>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spacing w:before="120" w:after="120" w:line="259" w:lineRule="auto"/>
    </w:pPr>
    <w:rPr>
      <w:rFonts w:eastAsia="MS Mincho"/>
      <w:b/>
      <w:color w:val="000000"/>
      <w:lang w:eastAsia="ja-JP"/>
    </w:rPr>
  </w:style>
  <w:style w:type="paragraph" w:customStyle="1" w:styleId="1f6">
    <w:name w:val="图表目录1"/>
    <w:basedOn w:val="Normal"/>
    <w:next w:val="Normal"/>
    <w:pPr>
      <w:spacing w:after="160" w:line="259" w:lineRule="auto"/>
      <w:ind w:left="400" w:hanging="400"/>
      <w:jc w:val="center"/>
    </w:pPr>
    <w:rPr>
      <w:rFonts w:eastAsia="MS Mincho"/>
      <w:b/>
      <w:color w:val="000000"/>
      <w:lang w:eastAsia="ja-JP"/>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spacing w:after="0" w:line="259" w:lineRule="auto"/>
      <w:jc w:val="both"/>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spacing w:after="0" w:line="259" w:lineRule="auto"/>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spacing w:line="259" w:lineRule="auto"/>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pPr>
      <w:spacing w:before="120" w:after="120" w:line="259" w:lineRule="auto"/>
    </w:pPr>
    <w:rPr>
      <w:rFonts w:eastAsia="MS Mincho"/>
      <w:b/>
      <w:color w:val="000000"/>
      <w:lang w:eastAsia="ja-JP"/>
    </w:rPr>
  </w:style>
  <w:style w:type="paragraph" w:customStyle="1" w:styleId="1fc">
    <w:name w:val="圖表目錄1"/>
    <w:basedOn w:val="Normal"/>
    <w:next w:val="Normal"/>
    <w:pPr>
      <w:spacing w:after="160"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pPr>
      <w:spacing w:after="160" w:line="259" w:lineRule="auto"/>
      <w:ind w:left="400" w:hanging="400"/>
      <w:jc w:val="center"/>
    </w:pPr>
    <w:rPr>
      <w:rFonts w:eastAsia="MS Mincho"/>
      <w:b/>
      <w:color w:val="000000"/>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spacing w:after="160" w:line="259" w:lineRule="auto"/>
    </w:pPr>
    <w:rPr>
      <w:color w:val="000000"/>
      <w:lang w:eastAsia="ja-JP"/>
    </w:rPr>
  </w:style>
  <w:style w:type="paragraph" w:customStyle="1" w:styleId="Tadc">
    <w:name w:val="Tadc"/>
    <w:basedOn w:val="Normal"/>
    <w:qFormat/>
    <w:pPr>
      <w:spacing w:after="160" w:line="259" w:lineRule="auto"/>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pPr>
      <w:spacing w:after="160" w:line="259" w:lineRule="auto"/>
    </w:pPr>
    <w:rPr>
      <w:rFonts w:cs="v4.2.0"/>
      <w:color w:val="000000"/>
      <w:lang w:eastAsia="x-none"/>
    </w:rPr>
  </w:style>
  <w:style w:type="paragraph" w:customStyle="1" w:styleId="TTH">
    <w:name w:val="TTH"/>
    <w:basedOn w:val="Normal"/>
    <w:pPr>
      <w:spacing w:after="160" w:line="259" w:lineRule="auto"/>
      <w:jc w:val="center"/>
    </w:pPr>
    <w:rPr>
      <w:rFonts w:ascii="Arial" w:hAnsi="Arial" w:cs="Arial"/>
      <w:b/>
      <w:color w:val="000000"/>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snapToGrid w:val="0"/>
      <w:spacing w:before="100" w:beforeAutospacing="1" w:after="100" w:afterAutospacing="1" w:line="259" w:lineRule="auto"/>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spacing w:after="120" w:line="259" w:lineRule="auto"/>
    </w:pPr>
    <w:rPr>
      <w:rFonts w:eastAsia="MS Mincho" w:cs="CG Times (WN)"/>
      <w:color w:val="000000"/>
      <w:lang w:eastAsia="ar-SA"/>
    </w:rPr>
  </w:style>
  <w:style w:type="paragraph" w:customStyle="1" w:styleId="320">
    <w:name w:val="本文 32"/>
    <w:basedOn w:val="Normal"/>
    <w:pPr>
      <w:suppressAutoHyphens/>
      <w:spacing w:after="120" w:line="259" w:lineRule="auto"/>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spacing w:after="160" w:line="259" w:lineRule="auto"/>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2f1">
    <w:name w:val="段落番号2"/>
    <w:basedOn w:val="List"/>
    <w:pPr>
      <w:tabs>
        <w:tab w:val="num" w:pos="644"/>
      </w:tabs>
      <w:suppressAutoHyphens/>
      <w:spacing w:after="160" w:line="259" w:lineRule="auto"/>
      <w:ind w:left="644" w:hanging="360"/>
    </w:pPr>
    <w:rPr>
      <w:rFonts w:cs="CG Times (WN)"/>
      <w:color w:val="000000"/>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spacing w:after="160" w:line="259" w:lineRule="auto"/>
      <w:ind w:left="644" w:hanging="360"/>
    </w:pPr>
    <w:rPr>
      <w:rFonts w:cs="CG Times (WN)"/>
      <w:color w:val="000000"/>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spacing w:after="160" w:line="259" w:lineRule="auto"/>
      <w:ind w:left="851"/>
    </w:pPr>
    <w:rPr>
      <w:rFonts w:cs="CG Times (WN)"/>
      <w:color w:val="000000"/>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spacing w:after="160" w:line="259" w:lineRule="auto"/>
    </w:pPr>
    <w:rPr>
      <w:rFonts w:eastAsia="MS Mincho" w:cs="CG Times (WN)"/>
      <w:color w:val="000000"/>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2f6">
    <w:name w:val="書式なし2"/>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2">
    <w:name w:val="標準 (Web)2"/>
    <w:basedOn w:val="Normal"/>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pPr>
      <w:suppressAutoHyphens/>
      <w:spacing w:after="160" w:line="259" w:lineRule="auto"/>
      <w:ind w:left="567"/>
    </w:pPr>
    <w:rPr>
      <w:rFonts w:ascii="Arial" w:eastAsia="MS Mincho" w:hAnsi="Arial" w:cs="Arial"/>
      <w:color w:val="000000"/>
      <w:lang w:eastAsia="ar-SA"/>
    </w:rPr>
  </w:style>
  <w:style w:type="paragraph" w:customStyle="1" w:styleId="2f7">
    <w:name w:val="標準インデント2"/>
    <w:basedOn w:val="Normal"/>
    <w:pPr>
      <w:suppressAutoHyphens/>
      <w:spacing w:after="160" w:line="259" w:lineRule="auto"/>
      <w:ind w:left="708"/>
    </w:pPr>
    <w:rPr>
      <w:rFonts w:eastAsia="MS Mincho" w:cs="CG Times (WN)"/>
      <w:color w:val="000000"/>
      <w:lang w:eastAsia="ar-SA"/>
    </w:rPr>
  </w:style>
  <w:style w:type="paragraph" w:customStyle="1" w:styleId="2f8">
    <w:name w:val="記2"/>
    <w:basedOn w:val="Normal"/>
    <w:next w:val="Normal"/>
    <w:pPr>
      <w:suppressAutoHyphens/>
      <w:spacing w:after="160" w:line="259" w:lineRule="auto"/>
    </w:pPr>
    <w:rPr>
      <w:rFonts w:eastAsia="MS Mincho" w:cs="CG Times (WN)"/>
      <w:color w:val="000000"/>
      <w:lang w:eastAsia="ar-SA"/>
    </w:rPr>
  </w:style>
  <w:style w:type="paragraph" w:customStyle="1" w:styleId="HTML2">
    <w:name w:val="HTML 書式付き2"/>
    <w:basedOn w:val="Normal"/>
    <w:pPr>
      <w:suppressAutoHyphens/>
      <w:spacing w:after="160"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spacing w:after="160"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spacing w:before="60" w:after="160" w:line="259" w:lineRule="auto"/>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spacing w:after="160" w:line="259" w:lineRule="auto"/>
    </w:pPr>
    <w:rPr>
      <w:color w:val="E36C0A"/>
      <w:lang w:eastAsia="ja-JP"/>
    </w:rPr>
  </w:style>
  <w:style w:type="paragraph" w:customStyle="1" w:styleId="Numbered1">
    <w:name w:val="Numbered 1"/>
    <w:basedOn w:val="Normal"/>
    <w:pPr>
      <w:numPr>
        <w:numId w:val="21"/>
      </w:numPr>
      <w:spacing w:before="60" w:after="160" w:line="259" w:lineRule="auto"/>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after="160" w:line="259" w:lineRule="auto"/>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spacing w:after="160" w:line="259" w:lineRule="auto"/>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pPr>
      <w:tabs>
        <w:tab w:val="num" w:pos="644"/>
      </w:tabs>
      <w:suppressAutoHyphens/>
      <w:spacing w:after="160" w:line="259" w:lineRule="auto"/>
      <w:ind w:left="644" w:hanging="360"/>
    </w:pPr>
    <w:rPr>
      <w:rFonts w:cs="CG Times (WN)"/>
      <w:color w:val="000000"/>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spacing w:after="160" w:line="259" w:lineRule="auto"/>
      <w:ind w:left="644" w:hanging="360"/>
    </w:pPr>
    <w:rPr>
      <w:rFonts w:cs="CG Times (WN)"/>
      <w:color w:val="000000"/>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spacing w:after="160" w:line="259" w:lineRule="auto"/>
      <w:ind w:left="851"/>
    </w:pPr>
    <w:rPr>
      <w:rFonts w:cs="CG Times (WN)"/>
      <w:color w:val="000000"/>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spacing w:after="160" w:line="259" w:lineRule="auto"/>
    </w:pPr>
    <w:rPr>
      <w:rFonts w:eastAsia="MS Mincho" w:cs="CG Times (WN)"/>
      <w:color w:val="000000"/>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3f2">
    <w:name w:val="書式なし3"/>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3">
    <w:name w:val="標準 (Web)3"/>
    <w:basedOn w:val="Normal"/>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pPr>
      <w:suppressAutoHyphens/>
      <w:spacing w:after="160" w:line="259" w:lineRule="auto"/>
      <w:ind w:left="567"/>
    </w:pPr>
    <w:rPr>
      <w:rFonts w:ascii="Arial" w:eastAsia="MS Mincho" w:hAnsi="Arial" w:cs="Arial"/>
      <w:color w:val="000000"/>
      <w:lang w:eastAsia="ar-SA"/>
    </w:rPr>
  </w:style>
  <w:style w:type="paragraph" w:customStyle="1" w:styleId="3f3">
    <w:name w:val="標準インデント3"/>
    <w:basedOn w:val="Normal"/>
    <w:pPr>
      <w:suppressAutoHyphens/>
      <w:spacing w:after="160" w:line="259" w:lineRule="auto"/>
      <w:ind w:left="708"/>
    </w:pPr>
    <w:rPr>
      <w:rFonts w:eastAsia="MS Mincho" w:cs="CG Times (WN)"/>
      <w:color w:val="000000"/>
      <w:lang w:eastAsia="ar-SA"/>
    </w:rPr>
  </w:style>
  <w:style w:type="paragraph" w:customStyle="1" w:styleId="3f4">
    <w:name w:val="記3"/>
    <w:basedOn w:val="Normal"/>
    <w:next w:val="Normal"/>
    <w:pPr>
      <w:suppressAutoHyphens/>
      <w:spacing w:after="160" w:line="259" w:lineRule="auto"/>
    </w:pPr>
    <w:rPr>
      <w:rFonts w:eastAsia="MS Mincho" w:cs="CG Times (WN)"/>
      <w:color w:val="000000"/>
      <w:lang w:eastAsia="ar-SA"/>
    </w:rPr>
  </w:style>
  <w:style w:type="paragraph" w:customStyle="1" w:styleId="HTML3">
    <w:name w:val="HTML 書式付き3"/>
    <w:basedOn w:val="Normal"/>
    <w:pPr>
      <w:suppressAutoHyphens/>
      <w:spacing w:after="160" w:line="259" w:lineRule="auto"/>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spacing w:after="160" w:line="259" w:lineRule="auto"/>
    </w:pPr>
    <w:rPr>
      <w:rFonts w:ascii="Tahoma" w:eastAsia="MS Mincho" w:hAnsi="Tahoma" w:cs="Tahoma"/>
      <w:color w:val="000000"/>
      <w:sz w:val="16"/>
      <w:szCs w:val="16"/>
      <w:lang w:eastAsia="ja-JP"/>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pPr>
      <w:tabs>
        <w:tab w:val="num" w:pos="644"/>
      </w:tabs>
      <w:suppressAutoHyphens/>
      <w:spacing w:after="160" w:line="259" w:lineRule="auto"/>
      <w:ind w:left="644" w:hanging="360"/>
    </w:pPr>
    <w:rPr>
      <w:rFonts w:cs="CG Times (WN)"/>
      <w:color w:val="000000"/>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spacing w:after="160" w:line="259" w:lineRule="auto"/>
      <w:ind w:left="644" w:hanging="360"/>
    </w:pPr>
    <w:rPr>
      <w:rFonts w:cs="CG Times (WN)"/>
      <w:color w:val="000000"/>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spacing w:after="160" w:line="259" w:lineRule="auto"/>
      <w:ind w:left="851"/>
    </w:pPr>
    <w:rPr>
      <w:rFonts w:cs="CG Times (WN)"/>
      <w:color w:val="000000"/>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spacing w:after="160" w:line="259" w:lineRule="auto"/>
    </w:pPr>
    <w:rPr>
      <w:rFonts w:eastAsia="MS Mincho" w:cs="CG Times (WN)"/>
      <w:color w:val="000000"/>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4f1">
    <w:name w:val="書式なし4"/>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4">
    <w:name w:val="標準 (Web)4"/>
    <w:basedOn w:val="Normal"/>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pPr>
      <w:suppressAutoHyphens/>
      <w:spacing w:after="160" w:line="259" w:lineRule="auto"/>
      <w:ind w:left="567"/>
    </w:pPr>
    <w:rPr>
      <w:rFonts w:ascii="Arial" w:eastAsia="MS Mincho" w:hAnsi="Arial" w:cs="Arial"/>
      <w:color w:val="000000"/>
      <w:lang w:eastAsia="ar-SA"/>
    </w:rPr>
  </w:style>
  <w:style w:type="paragraph" w:customStyle="1" w:styleId="4f2">
    <w:name w:val="標準インデント4"/>
    <w:basedOn w:val="Normal"/>
    <w:pPr>
      <w:suppressAutoHyphens/>
      <w:spacing w:after="160" w:line="259" w:lineRule="auto"/>
      <w:ind w:left="708"/>
    </w:pPr>
    <w:rPr>
      <w:rFonts w:eastAsia="MS Mincho" w:cs="CG Times (WN)"/>
      <w:color w:val="000000"/>
      <w:lang w:eastAsia="ar-SA"/>
    </w:rPr>
  </w:style>
  <w:style w:type="paragraph" w:customStyle="1" w:styleId="4f3">
    <w:name w:val="記4"/>
    <w:basedOn w:val="Normal"/>
    <w:next w:val="Normal"/>
    <w:pPr>
      <w:suppressAutoHyphens/>
      <w:spacing w:after="160" w:line="259" w:lineRule="auto"/>
    </w:pPr>
    <w:rPr>
      <w:rFonts w:eastAsia="MS Mincho" w:cs="CG Times (WN)"/>
      <w:color w:val="000000"/>
      <w:lang w:eastAsia="ar-SA"/>
    </w:rPr>
  </w:style>
  <w:style w:type="paragraph" w:customStyle="1" w:styleId="HTML4">
    <w:name w:val="HTML 書式付き4"/>
    <w:basedOn w:val="Normal"/>
    <w:pPr>
      <w:suppressAutoHyphens/>
      <w:spacing w:after="160" w:line="259" w:lineRule="auto"/>
    </w:pPr>
    <w:rPr>
      <w:rFonts w:ascii="Courier New" w:eastAsia="MS Mincho" w:hAnsi="Courier New" w:cs="Courier New"/>
      <w:color w:val="000000"/>
      <w:lang w:eastAsia="ar-SA"/>
    </w:rPr>
  </w:style>
  <w:style w:type="paragraph" w:customStyle="1" w:styleId="234">
    <w:name w:val="本文 23"/>
    <w:basedOn w:val="Normal"/>
    <w:pPr>
      <w:suppressAutoHyphens/>
      <w:spacing w:after="120" w:line="259" w:lineRule="auto"/>
    </w:pPr>
    <w:rPr>
      <w:rFonts w:eastAsia="MS Mincho" w:cs="CG Times (WN)"/>
      <w:color w:val="000000"/>
      <w:lang w:eastAsia="ar-SA"/>
    </w:rPr>
  </w:style>
  <w:style w:type="paragraph" w:customStyle="1" w:styleId="332">
    <w:name w:val="本文 33"/>
    <w:basedOn w:val="Normal"/>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spacing w:after="120" w:line="259" w:lineRule="auto"/>
    </w:pPr>
    <w:rPr>
      <w:rFonts w:eastAsia="MS Mincho" w:cs="CG Times (WN)"/>
      <w:color w:val="000000"/>
      <w:lang w:eastAsia="ar-SA"/>
    </w:rPr>
  </w:style>
  <w:style w:type="paragraph" w:customStyle="1" w:styleId="342">
    <w:name w:val="本文 34"/>
    <w:basedOn w:val="Normal"/>
    <w:pPr>
      <w:suppressAutoHyphens/>
      <w:spacing w:after="120" w:line="259" w:lineRule="auto"/>
    </w:pPr>
    <w:rPr>
      <w:rFonts w:eastAsia="MS Mincho" w:cs="CG Times (WN)"/>
      <w:color w:val="000000"/>
      <w:lang w:eastAsia="ar-SA"/>
    </w:rPr>
  </w:style>
  <w:style w:type="paragraph" w:customStyle="1" w:styleId="tac1">
    <w:name w:val="tac"/>
    <w:basedOn w:val="Normal"/>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spacing w:before="120" w:after="120" w:line="259" w:lineRule="auto"/>
    </w:pPr>
    <w:rPr>
      <w:rFonts w:eastAsia="MS Mincho"/>
      <w:b/>
      <w:color w:val="000000"/>
      <w:lang w:eastAsia="ja-JP"/>
    </w:rPr>
  </w:style>
  <w:style w:type="paragraph" w:customStyle="1" w:styleId="2fa">
    <w:name w:val="图表目录2"/>
    <w:basedOn w:val="Normal"/>
    <w:next w:val="Normal"/>
    <w:pPr>
      <w:spacing w:after="160" w:line="259" w:lineRule="auto"/>
      <w:ind w:left="400" w:hanging="400"/>
      <w:jc w:val="center"/>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line="259" w:lineRule="auto"/>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spacing w:after="160" w:line="259" w:lineRule="auto"/>
    </w:pPr>
    <w:rPr>
      <w:rFonts w:ascii="Tahoma" w:eastAsia="MS Mincho" w:hAnsi="Tahoma" w:cs="Tahoma"/>
      <w:color w:val="000000"/>
      <w:sz w:val="16"/>
      <w:szCs w:val="16"/>
      <w:lang w:eastAsia="ja-JP"/>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pPr>
      <w:tabs>
        <w:tab w:val="num" w:pos="644"/>
      </w:tabs>
      <w:suppressAutoHyphens/>
      <w:spacing w:after="160" w:line="259" w:lineRule="auto"/>
      <w:ind w:left="644" w:hanging="360"/>
    </w:pPr>
    <w:rPr>
      <w:rFonts w:eastAsia="MS Mincho" w:cs="CG Times (WN)"/>
      <w:color w:val="000000"/>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spacing w:after="160" w:line="259" w:lineRule="auto"/>
      <w:ind w:left="644" w:hanging="360"/>
    </w:pPr>
    <w:rPr>
      <w:rFonts w:eastAsia="MS Mincho" w:cs="CG Times (WN)"/>
      <w:color w:val="000000"/>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spacing w:after="160" w:line="259" w:lineRule="auto"/>
      <w:ind w:left="851"/>
    </w:pPr>
    <w:rPr>
      <w:rFonts w:eastAsia="MS Mincho" w:cs="CG Times (WN)"/>
      <w:color w:val="000000"/>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spacing w:after="160" w:line="259" w:lineRule="auto"/>
    </w:pPr>
    <w:rPr>
      <w:rFonts w:eastAsia="MS Mincho" w:cs="CG Times (WN)"/>
      <w:color w:val="000000"/>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5e">
    <w:name w:val="書式なし5"/>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Web5">
    <w:name w:val="標準 (Web)5"/>
    <w:basedOn w:val="Normal"/>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pPr>
      <w:suppressAutoHyphens/>
      <w:spacing w:after="160" w:line="259" w:lineRule="auto"/>
      <w:ind w:left="567"/>
    </w:pPr>
    <w:rPr>
      <w:rFonts w:ascii="Arial" w:eastAsia="MS Mincho" w:hAnsi="Arial" w:cs="Arial"/>
      <w:color w:val="000000"/>
      <w:lang w:eastAsia="ar-SA"/>
    </w:rPr>
  </w:style>
  <w:style w:type="paragraph" w:customStyle="1" w:styleId="5f">
    <w:name w:val="標準インデント5"/>
    <w:basedOn w:val="Normal"/>
    <w:pPr>
      <w:suppressAutoHyphens/>
      <w:spacing w:after="160" w:line="259" w:lineRule="auto"/>
      <w:ind w:left="708"/>
    </w:pPr>
    <w:rPr>
      <w:rFonts w:eastAsia="MS Mincho" w:cs="CG Times (WN)"/>
      <w:color w:val="000000"/>
      <w:lang w:eastAsia="ar-SA"/>
    </w:rPr>
  </w:style>
  <w:style w:type="paragraph" w:customStyle="1" w:styleId="5f0">
    <w:name w:val="記5"/>
    <w:basedOn w:val="Normal"/>
    <w:next w:val="Normal"/>
    <w:pPr>
      <w:suppressAutoHyphens/>
      <w:spacing w:after="160" w:line="259" w:lineRule="auto"/>
    </w:pPr>
    <w:rPr>
      <w:rFonts w:eastAsia="MS Mincho" w:cs="CG Times (WN)"/>
      <w:color w:val="000000"/>
      <w:lang w:eastAsia="ar-SA"/>
    </w:rPr>
  </w:style>
  <w:style w:type="paragraph" w:customStyle="1" w:styleId="HTML5">
    <w:name w:val="HTML 書式付き5"/>
    <w:basedOn w:val="Normal"/>
    <w:pPr>
      <w:suppressAutoHyphens/>
      <w:spacing w:after="160" w:line="259" w:lineRule="auto"/>
    </w:pPr>
    <w:rPr>
      <w:rFonts w:ascii="Courier New" w:eastAsia="MS Mincho" w:hAnsi="Courier New" w:cs="Courier New"/>
      <w:color w:val="000000"/>
      <w:lang w:eastAsia="ar-SA"/>
    </w:rPr>
  </w:style>
  <w:style w:type="paragraph" w:customStyle="1" w:styleId="254">
    <w:name w:val="本文 25"/>
    <w:basedOn w:val="Normal"/>
    <w:pPr>
      <w:suppressAutoHyphens/>
      <w:spacing w:after="120" w:line="259" w:lineRule="auto"/>
    </w:pPr>
    <w:rPr>
      <w:rFonts w:eastAsia="MS Mincho" w:cs="CG Times (WN)"/>
      <w:color w:val="000000"/>
      <w:lang w:eastAsia="ar-SA"/>
    </w:rPr>
  </w:style>
  <w:style w:type="paragraph" w:customStyle="1" w:styleId="352">
    <w:name w:val="本文 35"/>
    <w:basedOn w:val="Normal"/>
    <w:pPr>
      <w:suppressAutoHyphens/>
      <w:spacing w:after="120" w:line="259" w:lineRule="auto"/>
    </w:pPr>
    <w:rPr>
      <w:rFonts w:eastAsia="MS Mincho" w:cs="CG Times (WN)"/>
      <w:color w:val="000000"/>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spacing w:before="120" w:after="120" w:line="259" w:lineRule="auto"/>
    </w:pPr>
    <w:rPr>
      <w:rFonts w:eastAsia="MS Mincho"/>
      <w:b/>
      <w:color w:val="000000"/>
      <w:lang w:eastAsia="ja-JP"/>
    </w:rPr>
  </w:style>
  <w:style w:type="paragraph" w:customStyle="1" w:styleId="3f6">
    <w:name w:val="图表目录3"/>
    <w:basedOn w:val="Normal"/>
    <w:next w:val="Normal"/>
    <w:pPr>
      <w:spacing w:after="160" w:line="259" w:lineRule="auto"/>
      <w:ind w:left="400" w:hanging="400"/>
      <w:jc w:val="center"/>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spacing w:after="160" w:line="259" w:lineRule="auto"/>
      <w:ind w:left="400" w:hanging="400"/>
      <w:jc w:val="center"/>
    </w:pPr>
    <w:rPr>
      <w:rFonts w:eastAsia="MS Mincho"/>
      <w:b/>
      <w:color w:val="000000"/>
      <w:lang w:eastAsia="ja-JP"/>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spacing w:before="120" w:after="120" w:line="259" w:lineRule="auto"/>
    </w:pPr>
    <w:rPr>
      <w:rFonts w:eastAsia="MS Mincho"/>
      <w:b/>
      <w:color w:val="000000"/>
      <w:lang w:eastAsia="ja-JP"/>
    </w:rPr>
  </w:style>
  <w:style w:type="paragraph" w:customStyle="1" w:styleId="TableofFigures21">
    <w:name w:val="Table of Figures21"/>
    <w:basedOn w:val="Normal"/>
    <w:next w:val="Normal"/>
    <w:pPr>
      <w:spacing w:after="160" w:line="259" w:lineRule="auto"/>
      <w:ind w:left="400" w:hanging="400"/>
      <w:jc w:val="center"/>
    </w:pPr>
    <w:rPr>
      <w:rFonts w:eastAsia="MS Mincho"/>
      <w:b/>
      <w:color w:val="000000"/>
      <w:lang w:eastAsia="ja-JP"/>
    </w:rPr>
  </w:style>
  <w:style w:type="paragraph" w:customStyle="1" w:styleId="aria">
    <w:name w:val="aria"/>
    <w:basedOn w:val="Normal"/>
    <w:qFormat/>
    <w:pPr>
      <w:keepNext/>
      <w:keepLines/>
      <w:spacing w:after="0" w:line="259" w:lineRule="auto"/>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spacing w:after="160" w:line="259" w:lineRule="auto"/>
      <w:ind w:left="720"/>
    </w:pPr>
    <w:rPr>
      <w:rFonts w:eastAsia="DengXian"/>
      <w:color w:val="000000"/>
      <w:lang w:eastAsia="ja-JP"/>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spacing w:before="120" w:after="120" w:line="259" w:lineRule="auto"/>
    </w:pPr>
    <w:rPr>
      <w:rFonts w:eastAsia="MS Mincho"/>
      <w:b/>
      <w:color w:val="000000"/>
    </w:rPr>
  </w:style>
  <w:style w:type="paragraph" w:customStyle="1" w:styleId="TableofFigures3">
    <w:name w:val="Table of Figures3"/>
    <w:basedOn w:val="Normal"/>
    <w:next w:val="Normal"/>
    <w:qFormat/>
    <w:pPr>
      <w:spacing w:after="160" w:line="259" w:lineRule="auto"/>
      <w:ind w:left="400" w:hanging="400"/>
      <w:jc w:val="center"/>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style>
  <w:style w:type="numbering" w:customStyle="1" w:styleId="NoList1131">
    <w:name w:val="No List1131"/>
    <w:next w:val="NoList"/>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uiPriority w:val="99"/>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spacing w:before="120" w:after="120" w:line="259" w:lineRule="auto"/>
    </w:pPr>
    <w:rPr>
      <w:rFonts w:eastAsia="MS Mincho"/>
      <w:b/>
      <w:color w:val="000000"/>
    </w:rPr>
  </w:style>
  <w:style w:type="paragraph" w:customStyle="1" w:styleId="4f7">
    <w:name w:val="图表目录4"/>
    <w:basedOn w:val="Normal"/>
    <w:next w:val="Normal"/>
    <w:pPr>
      <w:spacing w:after="160" w:line="259" w:lineRule="auto"/>
      <w:ind w:left="400" w:hanging="400"/>
      <w:jc w:val="center"/>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line="259" w:lineRule="auto"/>
      <w:ind w:left="1440" w:right="1440"/>
    </w:pPr>
    <w:rPr>
      <w:rFonts w:eastAsia="MS Mincho"/>
      <w:color w:val="000000"/>
    </w:rPr>
  </w:style>
  <w:style w:type="paragraph" w:customStyle="1" w:styleId="Table0">
    <w:name w:val="Table"/>
    <w:basedOn w:val="Normal"/>
    <w:link w:val="Table1"/>
    <w:qFormat/>
    <w:pPr>
      <w:spacing w:after="160" w:line="259" w:lineRule="auto"/>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spacing w:after="160" w:line="259" w:lineRule="auto"/>
    </w:pPr>
    <w:rPr>
      <w:rFonts w:ascii="Arial" w:hAnsi="Arial" w:cs="Arial"/>
      <w:b/>
      <w:color w:val="000000"/>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spacing w:before="120" w:after="120" w:line="259" w:lineRule="auto"/>
    </w:pPr>
    <w:rPr>
      <w:rFonts w:eastAsia="MS Mincho"/>
      <w:b/>
      <w:color w:val="000000"/>
      <w:lang w:eastAsia="ja-JP"/>
    </w:rPr>
  </w:style>
  <w:style w:type="paragraph" w:customStyle="1" w:styleId="11b">
    <w:name w:val="图表目录11"/>
    <w:basedOn w:val="Normal"/>
    <w:next w:val="Normal"/>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pPr>
      <w:spacing w:after="160" w:line="259" w:lineRule="auto"/>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line="259" w:lineRule="auto"/>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pPr>
      <w:spacing w:after="160" w:line="259" w:lineRule="auto"/>
    </w:pPr>
    <w:rPr>
      <w:rFonts w:eastAsia="Calibri"/>
      <w:b/>
      <w:bCs/>
      <w:color w:val="000000"/>
      <w:lang w:val="en-US"/>
    </w:rPr>
  </w:style>
  <w:style w:type="paragraph" w:customStyle="1" w:styleId="87">
    <w:name w:val="87"/>
    <w:basedOn w:val="Normal"/>
    <w:pPr>
      <w:spacing w:after="160" w:line="259" w:lineRule="auto"/>
      <w:ind w:left="2269" w:hanging="284"/>
    </w:pPr>
    <w:rPr>
      <w:color w:val="000000"/>
      <w:lang w:eastAsia="ja-JP"/>
    </w:rPr>
  </w:style>
  <w:style w:type="character" w:customStyle="1" w:styleId="NOChar2">
    <w:name w:val="NO Char2"/>
    <w:locked/>
    <w:rPr>
      <w:lang w:eastAsia="en-US"/>
    </w:rPr>
  </w:style>
  <w:style w:type="paragraph" w:customStyle="1" w:styleId="TAHLeft">
    <w:name w:val="TAH + Left"/>
    <w:basedOn w:val="TAL"/>
    <w:pPr>
      <w:spacing w:line="259" w:lineRule="auto"/>
    </w:pPr>
    <w:rPr>
      <w:color w:val="000000"/>
    </w:rPr>
  </w:style>
  <w:style w:type="paragraph" w:customStyle="1" w:styleId="63-13">
    <w:name w:val=".6.3-13"/>
    <w:basedOn w:val="TAH"/>
    <w:pPr>
      <w:spacing w:line="259" w:lineRule="auto"/>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pPr>
      <w:spacing w:after="160" w:line="259" w:lineRule="auto"/>
      <w:ind w:left="400" w:hanging="400"/>
      <w:jc w:val="center"/>
    </w:pPr>
    <w:rPr>
      <w:rFonts w:eastAsia="MS Mincho"/>
      <w:b/>
      <w:color w:val="000000"/>
      <w:lang w:eastAsia="ja-JP"/>
    </w:rPr>
  </w:style>
  <w:style w:type="paragraph" w:customStyle="1" w:styleId="3fa">
    <w:name w:val="列出段落3"/>
    <w:basedOn w:val="Normal"/>
    <w:qFormat/>
    <w:pPr>
      <w:spacing w:after="160" w:line="259" w:lineRule="auto"/>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spacing w:after="160" w:line="259" w:lineRule="auto"/>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spacing w:after="160" w:line="259" w:lineRule="auto"/>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spacing w:after="160" w:line="259" w:lineRule="auto"/>
    </w:pPr>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spacing w:after="160" w:line="259" w:lineRule="auto"/>
      <w:ind w:left="720" w:hanging="360"/>
    </w:pPr>
    <w:rPr>
      <w:rFonts w:ascii="Arial" w:hAnsi="Arial"/>
      <w:color w:val="000000"/>
      <w:lang w:eastAsia="ja-JP"/>
    </w:rPr>
  </w:style>
  <w:style w:type="paragraph" w:customStyle="1" w:styleId="text3bullet">
    <w:name w:val="text3 bullet"/>
    <w:basedOn w:val="Normal"/>
    <w:pPr>
      <w:tabs>
        <w:tab w:val="num" w:pos="1492"/>
      </w:tabs>
      <w:spacing w:after="160" w:line="259" w:lineRule="auto"/>
      <w:ind w:left="1492" w:hanging="360"/>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spacing w:after="220" w:line="259" w:lineRule="auto"/>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line="259" w:lineRule="auto"/>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spacing w:line="259" w:lineRule="auto"/>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pPr>
      <w:spacing w:after="0" w:line="259" w:lineRule="auto"/>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semiHidden/>
    <w:unhideWhenUsed/>
  </w:style>
  <w:style w:type="numbering" w:customStyle="1" w:styleId="NoList522">
    <w:name w:val="No List522"/>
    <w:next w:val="NoList"/>
    <w:semiHidden/>
  </w:style>
  <w:style w:type="numbering" w:customStyle="1" w:styleId="NoList612">
    <w:name w:val="No List612"/>
    <w:next w:val="NoList"/>
    <w:semiHidden/>
  </w:style>
  <w:style w:type="numbering" w:customStyle="1" w:styleId="NoList712">
    <w:name w:val="No List712"/>
    <w:next w:val="NoList"/>
    <w:semiHidden/>
  </w:style>
  <w:style w:type="numbering" w:customStyle="1" w:styleId="NoList1122">
    <w:name w:val="No List1122"/>
    <w:next w:val="NoList"/>
    <w:semiHidden/>
  </w:style>
  <w:style w:type="numbering" w:customStyle="1" w:styleId="NoList2112">
    <w:name w:val="No List2112"/>
    <w:next w:val="NoList"/>
    <w:semiHidden/>
  </w:style>
  <w:style w:type="numbering" w:customStyle="1" w:styleId="NoList812">
    <w:name w:val="No List812"/>
    <w:next w:val="NoList"/>
    <w:semiHidden/>
  </w:style>
  <w:style w:type="numbering" w:customStyle="1" w:styleId="NoList1212">
    <w:name w:val="No List1212"/>
    <w:next w:val="NoList"/>
    <w:semiHidden/>
  </w:style>
  <w:style w:type="numbering" w:customStyle="1" w:styleId="NoList2212">
    <w:name w:val="No List2212"/>
    <w:next w:val="NoList"/>
    <w:semiHidden/>
  </w:style>
  <w:style w:type="numbering" w:customStyle="1" w:styleId="NoList912">
    <w:name w:val="No List912"/>
    <w:next w:val="NoList"/>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semiHidden/>
  </w:style>
  <w:style w:type="numbering" w:customStyle="1" w:styleId="NoList4112">
    <w:name w:val="No List4112"/>
    <w:next w:val="NoList"/>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spacing w:after="160" w:line="259" w:lineRule="auto"/>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pPr>
      <w:tabs>
        <w:tab w:val="num" w:pos="644"/>
      </w:tabs>
      <w:suppressAutoHyphens/>
      <w:spacing w:after="160" w:line="259" w:lineRule="auto"/>
      <w:ind w:left="644" w:hanging="360"/>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spacing w:after="160" w:line="259" w:lineRule="auto"/>
      <w:ind w:left="644" w:hanging="360"/>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spacing w:after="160" w:line="259" w:lineRule="auto"/>
      <w:ind w:left="851"/>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spacing w:after="160" w:line="259" w:lineRule="auto"/>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spacing w:after="160" w:line="259" w:lineRule="auto"/>
    </w:pPr>
    <w:rPr>
      <w:rFonts w:ascii="Tahoma" w:eastAsia="MS Mincho" w:hAnsi="Tahoma" w:cs="Tahoma"/>
      <w:color w:val="000000"/>
      <w:lang w:eastAsia="ar-SA"/>
    </w:rPr>
  </w:style>
  <w:style w:type="paragraph" w:customStyle="1" w:styleId="6e">
    <w:name w:val="書式なし6"/>
    <w:basedOn w:val="Normal"/>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Normal"/>
    <w:pPr>
      <w:suppressAutoHyphens/>
      <w:spacing w:after="120" w:line="259" w:lineRule="auto"/>
    </w:pPr>
    <w:rPr>
      <w:rFonts w:eastAsia="MS Mincho" w:cs="CG Times (WN)"/>
      <w:color w:val="000000"/>
      <w:lang w:eastAsia="ar-SA"/>
    </w:rPr>
  </w:style>
  <w:style w:type="paragraph" w:customStyle="1" w:styleId="362">
    <w:name w:val="本文 36"/>
    <w:basedOn w:val="Normal"/>
    <w:pPr>
      <w:suppressAutoHyphens/>
      <w:spacing w:after="120" w:line="259" w:lineRule="auto"/>
    </w:pPr>
    <w:rPr>
      <w:rFonts w:eastAsia="MS Mincho" w:cs="CG Times (WN)"/>
      <w:color w:val="000000"/>
      <w:lang w:eastAsia="ar-SA"/>
    </w:rPr>
  </w:style>
  <w:style w:type="paragraph" w:customStyle="1" w:styleId="Web6">
    <w:name w:val="標準 (Web)6"/>
    <w:basedOn w:val="Normal"/>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pPr>
      <w:suppressAutoHyphens/>
      <w:spacing w:after="160" w:line="259" w:lineRule="auto"/>
      <w:ind w:left="567"/>
    </w:pPr>
    <w:rPr>
      <w:rFonts w:ascii="Arial" w:eastAsia="MS Mincho" w:hAnsi="Arial" w:cs="Arial"/>
      <w:color w:val="000000"/>
      <w:lang w:eastAsia="ar-SA"/>
    </w:rPr>
  </w:style>
  <w:style w:type="paragraph" w:customStyle="1" w:styleId="6f">
    <w:name w:val="標準インデント6"/>
    <w:basedOn w:val="Normal"/>
    <w:pPr>
      <w:suppressAutoHyphens/>
      <w:spacing w:after="160" w:line="259" w:lineRule="auto"/>
      <w:ind w:left="708"/>
    </w:pPr>
    <w:rPr>
      <w:rFonts w:eastAsia="MS Mincho" w:cs="CG Times (WN)"/>
      <w:color w:val="000000"/>
      <w:lang w:eastAsia="ar-SA"/>
    </w:rPr>
  </w:style>
  <w:style w:type="paragraph" w:customStyle="1" w:styleId="6f0">
    <w:name w:val="記6"/>
    <w:basedOn w:val="Normal"/>
    <w:next w:val="Normal"/>
    <w:pPr>
      <w:suppressAutoHyphens/>
      <w:spacing w:after="160" w:line="259" w:lineRule="auto"/>
    </w:pPr>
    <w:rPr>
      <w:rFonts w:eastAsia="MS Mincho" w:cs="CG Times (WN)"/>
      <w:color w:val="000000"/>
      <w:lang w:eastAsia="ar-SA"/>
    </w:rPr>
  </w:style>
  <w:style w:type="paragraph" w:customStyle="1" w:styleId="HTML6">
    <w:name w:val="HTML 書式付き6"/>
    <w:basedOn w:val="Normal"/>
    <w:pPr>
      <w:suppressAutoHyphens/>
      <w:spacing w:after="160" w:line="259" w:lineRule="auto"/>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semiHidden/>
  </w:style>
  <w:style w:type="numbering" w:customStyle="1" w:styleId="NoList713">
    <w:name w:val="No List713"/>
    <w:next w:val="NoList"/>
    <w:semiHidden/>
  </w:style>
  <w:style w:type="numbering" w:customStyle="1" w:styleId="NoList1123">
    <w:name w:val="No List1123"/>
    <w:next w:val="NoList"/>
    <w:semiHidden/>
  </w:style>
  <w:style w:type="numbering" w:customStyle="1" w:styleId="NoList2113">
    <w:name w:val="No List2113"/>
    <w:next w:val="NoList"/>
    <w:semiHidden/>
  </w:style>
  <w:style w:type="numbering" w:customStyle="1" w:styleId="NoList813">
    <w:name w:val="No List813"/>
    <w:next w:val="NoList"/>
    <w:semiHidden/>
  </w:style>
  <w:style w:type="numbering" w:customStyle="1" w:styleId="NoList1213">
    <w:name w:val="No List1213"/>
    <w:next w:val="NoList"/>
    <w:semiHidden/>
  </w:style>
  <w:style w:type="numbering" w:customStyle="1" w:styleId="NoList2213">
    <w:name w:val="No List2213"/>
    <w:next w:val="NoList"/>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semiHidden/>
  </w:style>
  <w:style w:type="numbering" w:customStyle="1" w:styleId="NoList4113">
    <w:name w:val="No List4113"/>
    <w:next w:val="NoList"/>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spacing w:after="160"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spacing w:after="160" w:line="259" w:lineRule="auto"/>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spacing w:after="160" w:line="259" w:lineRule="auto"/>
    </w:pPr>
    <w:rPr>
      <w:rFonts w:ascii="Tahoma" w:eastAsia="MS Mincho" w:hAnsi="Tahoma" w:cs="Tahoma"/>
      <w:color w:val="000000"/>
      <w:lang w:eastAsia="ar-SA"/>
    </w:rPr>
  </w:style>
  <w:style w:type="paragraph" w:customStyle="1" w:styleId="7b">
    <w:name w:val="書式なし7"/>
    <w:basedOn w:val="Normal"/>
    <w:uiPriority w:val="99"/>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spacing w:after="160" w:line="259" w:lineRule="auto"/>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spacing w:after="160" w:line="259" w:lineRule="auto"/>
      <w:ind w:left="708"/>
    </w:pPr>
    <w:rPr>
      <w:rFonts w:eastAsia="MS Mincho" w:cs="CG Times (WN)"/>
      <w:color w:val="000000"/>
      <w:lang w:eastAsia="ar-SA"/>
    </w:rPr>
  </w:style>
  <w:style w:type="paragraph" w:customStyle="1" w:styleId="7d">
    <w:name w:val="記7"/>
    <w:basedOn w:val="Normal"/>
    <w:next w:val="Normal"/>
    <w:uiPriority w:val="99"/>
    <w:pPr>
      <w:suppressAutoHyphens/>
      <w:spacing w:after="160" w:line="259" w:lineRule="auto"/>
    </w:pPr>
    <w:rPr>
      <w:rFonts w:eastAsia="MS Mincho" w:cs="CG Times (WN)"/>
      <w:color w:val="000000"/>
      <w:lang w:eastAsia="ar-SA"/>
    </w:rPr>
  </w:style>
  <w:style w:type="paragraph" w:customStyle="1" w:styleId="HTML7">
    <w:name w:val="HTML 書式付き7"/>
    <w:basedOn w:val="Normal"/>
    <w:uiPriority w:val="99"/>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Normal"/>
    <w:uiPriority w:val="99"/>
    <w:pPr>
      <w:suppressAutoHyphens/>
      <w:spacing w:after="120" w:line="259" w:lineRule="auto"/>
    </w:pPr>
    <w:rPr>
      <w:rFonts w:eastAsia="MS Mincho" w:cs="CG Times (WN)"/>
      <w:color w:val="000000"/>
      <w:lang w:eastAsia="ar-SA"/>
    </w:rPr>
  </w:style>
  <w:style w:type="paragraph" w:customStyle="1" w:styleId="372">
    <w:name w:val="本文 37"/>
    <w:basedOn w:val="Normal"/>
    <w:uiPriority w:val="99"/>
    <w:pPr>
      <w:suppressAutoHyphens/>
      <w:spacing w:after="120" w:line="259" w:lineRule="auto"/>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pPr>
      <w:suppressAutoHyphens/>
      <w:spacing w:after="0" w:line="259" w:lineRule="auto"/>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1882</TotalTime>
  <Pages>29</Pages>
  <Words>12352</Words>
  <Characters>54730</Characters>
  <Application>Microsoft Office Word</Application>
  <DocSecurity>0</DocSecurity>
  <Lines>456</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77</cp:revision>
  <cp:lastPrinted>1900-01-01T08:00:00Z</cp:lastPrinted>
  <dcterms:created xsi:type="dcterms:W3CDTF">2020-02-03T08:32:00Z</dcterms:created>
  <dcterms:modified xsi:type="dcterms:W3CDTF">2022-08-19T19:41:00Z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